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ATAS/1149/2020 vom 26. November 2020</w:t>
      </w:r>
    </w:p>
    <w:p>
      <w:r>
        <w:t>GE Cour de justice, 2020-11-26, FR</w:t>
      </w:r>
    </w:p>
    <w:p>
      <w:r>
        <w:rPr>
          <w:b/>
        </w:rPr>
        <w:t xml:space="preserve">Quelle: </w:t>
      </w:r>
      <w:r>
        <w:t>https://mcp.opencaselaw.ch/entscheid/ge_gerichte_ATAS_1149_2020</w:t>
      </w:r>
    </w:p>
    <w:p>
      <w:r>
        <w:t>FR: GE_GERICHTE ATAS/1149/2020 du 26 novembre 2020</w:t>
      </w:r>
    </w:p>
    <w:p>
      <w:r>
        <w:t>IT: GE_GERICHTE ATAS/1149/2020 del 26 novembre 2020</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t>A/4495/2019 - 9/21 -</w:t>
      </w:r>
    </w:p>
    <w:p>
      <w:r>
        <w:rPr>
          <w:b/>
        </w:rPr>
        <w:t>E. 2</w:t>
      </w:r>
    </w:p>
    <w:p>
      <w:r>
        <w:t>À teneur de l'art. 1 al. 1 LAA, les dispositions de la LPGA s'appliquent à l'assurance-accidents, à moins que la loi n'y déroge expressément.</w:t>
      </w:r>
    </w:p>
    <w:p>
      <w:r>
        <w:rPr>
          <w:b/>
        </w:rPr>
        <w:t>E. 3</w:t>
      </w:r>
    </w:p>
    <w:p>
      <w:r>
        <w:t>La modification du 25 septembre 2015 de la LAA est entrée en vigueur le 1er janvier 2017. Dans la mesure où l'accident est survenu après cette date, le droit du recourant aux prestations d'assurance est soumis au nouveau droit (cf. dispositions transitoires relatives à la modification du 25 septembre 2015; arrêt du Tribunal fédéral 8C_662/2016 du 23 mai 2017 consid. 2.2). Les dispositions légales seront citées ci- après dans leur teneur en vigueur depuis le 1er janvier 2017.</w:t>
      </w:r>
    </w:p>
    <w:p>
      <w:r>
        <w:rPr>
          <w:b/>
        </w:rPr>
        <w:t>E. 4</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5</w:t>
      </w:r>
    </w:p>
    <w:p>
      <w:r>
        <w:t>Le litige porte sur la question de savoir à quelle date l'événement du 26 août 2017 a cessé de déployer ses effets.</w:t>
      </w:r>
    </w:p>
    <w:p>
      <w:r>
        <w:rPr>
          <w:b/>
        </w:rPr>
        <w:t>E. 6</w:t>
      </w:r>
    </w:p>
    <w:p>
      <w:r>
        <w:t>a. Aux termes de l'art. 6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notion d'accident se décompose ainsi en cinq éléments ou conditions, qui doivent être cumulativement réalisés: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(ATF 129 V 402 consid. 2.1; arrêt du Tribunal fédéral 8C_235/2018 du 16 avril 2019 consid. 3.1). b. Suivant la définition même de l'accident, le caractère extraordinaire de l'atteinte ne concerne pas les effets du facteur extérieur, mais seulement ce facteur lui-même. Dès lors, il importe peu que le facteur extérieur ait entraîné des conséquences graves ou inattendues. Le facteur extérieur est considéré comme extraordinaire lorsqu'il excède le cadre des événements et des situations que l'on peut objectivement qualifier de quotidiens ou d'habituels, autrement dit des incidents et péripéties de la vie courante (ATF 129 V 402 consid. 2.1). Pour des lésions dues à l'effort (soulèvement, déplacement de charges notamment), il faut examiner de cas en cas si l'effort doit être considéré comme extraordinaire, en tenant compte de la constitution physique et des habitudes professionnelles ou autres de l'intéressé (arrêt du Tribunal fédéral 8C_827/2017 du 18 mai 2018 consid. 2.1). Il n'y a pas d'accident, au sens de ce qui précède, lorsque l'effort en question ne peut entraîner une lésion qu'en raison de facteurs maladifs préexistants, car c'est alors une cause</w:t>
      </w:r>
    </w:p>
    <w:p>
      <w:r>
        <w:t>A/4495/2019 - 10/21 - interne qui agit, tandis que la cause extérieure – souvent anodine – ne fait que déclencher la manifestation du facteur pathologique (ATF 116 V 136 consid. 3b). c.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117 consid. 2.1). On peut ainsi retenir à titre d'exemples de facteurs extérieurs extraordinaires le fait de trébucher, de glisser ou de se heurter à un objet (RAMA 2004 n°U 502 p. 184 consid. 4.1, RAMA 1999 n°U 345 p. 422 consid. 2b).</w:t>
      </w:r>
    </w:p>
    <w:p>
      <w:r>
        <w:rPr>
          <w:b/>
        </w:rPr>
        <w:t>E. 7</w:t>
      </w:r>
    </w:p>
    <w:p>
      <w:r>
        <w:t>a. Aux termes de l’art. 6 al. 2 LAA dans sa teneur en vigueur depuis le 1er janvier 2017, l’assurance alloue aussi ses prestations pour les lésions corporelles suivantes, pour autant qu'elles ne soient pas dues de manière prépondérante à l'usure ou à une maladie : les fractures (let. a); les déboîtements d'articulations (let. b); les déchirures du ménisque (let. c); les déchirures de muscles (let. d); les élongations de muscles (let. e); les déchirures de tendons (let. f); les lésions de ligaments (let. g); les lésions du tympan (let. h). On précisera que l’art. 6 al. 2 LAA, dans sa version en vigueur jusqu’au 31 décembre 2016, conférait au Conseil fédéral la compétence d’étendre la prise en charge par l’assurance-accidents à des lésions assimilables à un accident. L’ancien art. 9 al. 2 de l'ordonnance sur l'assurance-accidents (OLAA - RS 832.202), adopté sur la base de cette disposition, contenait la liste exhaustive des lésions corporelles assimilées à un accident pour autant qu’elles ne fussent pas manifestement imputables à une maladie ou à des phénomènes dégénératifs. La liste des lésions énumérées par l’art. 6 al. 2 LAA dans sa nouvelle teneur est identique à celle auparavant contenue dans l’art. 9 al. 2 aOLAA. b. Selon la jurisprudence rendue sous l’empire de l’art. 9 al. 2 aOLAA, pour que des lésions corporelles puissent être qualifiées de semblables aux conséquences d’un accident, seul le caractère extraordinaire de l’accident pouvait faire défaut, mais l’existence d’une cause extérieure était en revanche indispensable (cf. ATF 139 V 327 consid. 3.1). Dans son Message à l’appui de la révision de l’art. 6 al. 2 LAA, le Conseil fédéral a relevé que cette jurisprudence avait été source de difficultés pour les assureurs-accidents et d’insécurité pour les assurés. C’est pourquoi une nouvelle réglementation faisant abstraction de l’existence d’une cause extérieure a été proposée, conformément à la volonté du législateur à l’époque du message de 1976 à l’appui de la LAA. En cas de lésion corporelle figurant dans la liste, il y a désormais présomption que l’on est en présence d’une lésion semblable aux conséquences d’un accident, qui doit être prise en charge par l’assureur-accidents. Ce dernier pourra toutefois se libérer de son obligation s’il</w:t>
      </w:r>
    </w:p>
    <w:p>
      <w:r>
        <w:t>A/4495/2019 - 11/21 - apporte la preuve que la lésion est manifestement due à l’usure ou à une maladie (Message du Conseil fédéral relatif à la modification de la loi fédérale sur l’assurance-accidents du 30 mai 2008, FF 2008 4893). c. Dans un arrêt de principe du 24 septembre 2019 (ATF 146 V 51), le Tribunal fédéral a précisé que selon l’interprétation de l’art. 6 al. 2 LAA, l’application de cette disposition ne présuppose aucun facteur extérieur et donc aucun événement accidentel ou générant un risque de lésion accru au sens de la jurisprudence relative à l'art. 9 al. 2 aOLAA. Cependant, la possibilité pour l’assureur-accidents de rapporter la preuve prévue par l’art. 6 al. 2 LAA impose de distinguer la lésion corporelle assimilée, d’une lésion corporelle figurant dans la liste due à l'usure et à la maladie à charge de l’assurance-maladie. Dans ce contexte, la question d'un événement initial reconnaissable et identifiable est également pertinente après la révision de la LAA – notamment en raison de l'importance d'un lien temporel (couverture d'assurance; compétence de l'assureur-accidents; calcul du gain assuré; questions juridiques intertemporelles). Par conséquent, dans le cadre de son devoir d’instruction (cf. art. 43 al. 1 LPGA), l'assureur-accidents doit clarifier les circonstances exactes du sinistre à l’annonce d’une lésion selon la liste. Si celle-ci est imputable à un événement accidentel au sens de l'art. 4 LPGA, l'assureur- accidents est tenu de verser des prestations jusqu'à ce que l'accident ne représente plus la cause naturelle et suffisante, c'est-à-dire que l’atteinte à la santé est fondée uniquement et exclusivement sur des causes autres qu’accidentelles (voir consid. 5.1 et 8.5). Si, en revanche, tous les critères de la définition de l'accident au sens de l'art. 4 LPGA ne sont pas remplis, l'assureur-accidents est généralement responsable pour une lésion selon la liste selon l'art. 6 al. 2 LAA dans la version en vigueur depuis le 1er janvier 2017, à moins qu’il puisse prouver que la lésion est principalement due à une usure ou maladie (consid. 9.1). d. Si aucun événement initial ne peut être établi, ou si seul un événement bénin ou anodin peut être établi, cela simplifie de toute évidence la preuve de la libération pour l'assureur-accident. En effet, l'ensemble des causes des atteintes corporelles en question doit être pris en compte dans la question de la délimitation, qui doit être évaluée avant tout par des médecins spécialistes. Outre la condition précédente, les circonstances de la première apparition des troubles doivent également être examinées plus en détails (par exemple, un bilan traumatologique du genou est une aide utile pour l'évaluation médicale des blessures au genou, publié in BMS 2016 p. 1742 ss). Les différents indices qui parlent pour ou contre l'usure ou la maladie doivent être pondérés d'un point de vue médical. L'assureur-accidents doit prouver, sur la base d'évaluations médicales concluantes – au degré de la vraisemblance prépondérante – que la lésion en question est due de manière prépondérante à l'usure ou à la maladie, c'est-à-dire plus de 50% de tous les facteurs en cause. Si la « palette des causes » se compose uniquement d'éléments indiquant une usure ou une maladie, il s'ensuit inévitablement que l'assureur-accidents a apporté la preuve</w:t>
      </w:r>
    </w:p>
    <w:p>
      <w:r>
        <w:t>A/4495/2019 - 12/21 - de la « libération » et qu’il n’est pas nécessaire d’apporter des clarifications supplémentaires (consid. 8.6).</w:t>
      </w:r>
    </w:p>
    <w:p>
      <w:r>
        <w:rPr>
          <w:b/>
        </w:rPr>
        <w:t>E. 8</w:t>
      </w:r>
    </w:p>
    <w:p>
      <w:r>
        <w:t>a.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b.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w:t>
      </w:r>
    </w:p>
    <w:p>
      <w:r>
        <w:t>A/4495/2019 - 13/21 - ATF 117 V 359 consid. 5d/bb; arrêt du Tribunal fédéral des assurances U 351/04 du 14 février 2006 consid. 3.2).</w:t>
      </w:r>
    </w:p>
    <w:p>
      <w:r>
        <w:rPr>
          <w:b/>
        </w:rPr>
        <w:t>E. 9</w:t>
      </w:r>
    </w:p>
    <w:p>
      <w:r>
        <w:t>En vertu de l'art. 36 al. 1 LAA, les prestations pour soins, les remboursements de frais ainsi que les indemnités journalières et les allocations pour impotent ne sont pas réduits lorsque l'atteinte à la santé n'est que partiellement imputable à l'accident. Si 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arrêt du Tribunal fédéral 8C_441/2017 du 6 juin 2018 consid. 3.2).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10</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rPr>
          <w:b/>
        </w:rPr>
        <w:t>E. 11</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w:t>
      </w:r>
    </w:p>
    <w:p>
      <w:r>
        <w:t>A/4495/2019 - 14/21 -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(ATF 125 V 351 consid. 3b). d.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f.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w:t>
      </w:r>
    </w:p>
    <w:p>
      <w:r>
        <w:t>A/4495/2019 - 15/21 - sur la base d’un dossier peut se voir reconnaître une pleine valeur probante (arrêt du Tribunal fédéral 8C_681/2011 du 27 juin 2012 consid. 4.1 et les références). 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9C_751/2010 du 20 juin 2011 consid. 2.2).</w:t>
      </w:r>
    </w:p>
    <w:p>
      <w:r>
        <w:rPr>
          <w:b/>
        </w:rPr>
        <w:t>E. 12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a. 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w:t>
      </w:r>
    </w:p>
    <w:p>
      <w:r>
        <w:t>A/4495/2019 - 16/21 -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b.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 Il incombe à l’assuré d’établir, au degré de vraisemblance prépondérante, l’existence d'un rapport de causalité naturelle entre l’état pathologique qui se manifeste à nouveau et l’accident (REAS 2002 p. 307). En l’absence de preuve, la décision sera défavorable à l’assuré (ATF 117 V 261 consid. 3b et les références;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cf. également arrêt du Tribunal fédéral 17 du 3 mai 2018 consid. 4.2).</w:t>
      </w:r>
    </w:p>
    <w:p>
      <w:r>
        <w:rPr>
          <w:b/>
        </w:rPr>
        <w:t>E. 14</w:t>
      </w:r>
    </w:p>
    <w:p>
      <w:r>
        <w:t>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 b.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w:t>
      </w:r>
    </w:p>
    <w:p>
      <w:r>
        <w:t>A/4495/2019 - 17/21 - SVR 2010 IV n. 49 p. 151, consid. 3.5; arrêt du Tribunal fédéral 8C_760/2011 du 26 janvier 2012 consid. 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15</w:t>
      </w:r>
    </w:p>
    <w:p>
      <w:r>
        <w:t>Sauf disposition contraire de la loi, le juge des assurances sociales fonde sa décision sur les faits qui, faute d'être établis de manière irréfutable, apparaissent comme les plus vraisemblables, c'est-à-dire qui présentent un degré de vraisemblance prépondérante (ATF 126 V 353 consid. 5b). En droit des assurances sociales, il n'existe pas de principe selon lequel l'administration ou le juge devrait statuer, dans le doute, en faveur de l'assuré (ATF 126 V 319 consid. 5a).</w:t>
      </w:r>
    </w:p>
    <w:p>
      <w:r>
        <w:rPr>
          <w:b/>
        </w:rPr>
        <w:t>E. 16</w:t>
      </w:r>
    </w:p>
    <w:p>
      <w:r>
        <w:t>En l’espèce, il n’est pas nié que l’événement du 26 août 2017 doit être qualifié d’accident. La question qui se pose est de savoir à partir de quel moment les troubles de la santé, soit les douleurs à la cheville ressenties par l’assuré, peuvent être considérés comme n’étant plus dans un rapport de causalité avec l’événement du 26 août 2017. Le recourant considère que ce qu’il appelle une « rechute », soit les douleurs annoncées au mois de janvier 2018, se rattachent à l’événement accidentel du 26 août 2017. Cette hypothèse ne peut faire naître une obligation de l'intimée de verser des prestations que s'il existe un lien de causalité naturelle et adéquate entre les nouvelles plaintes du recourant et l'atteinte à la santé causée à l'époque par l'accident assuré. Se fondant sur les rapports de son médecin-conseil du 10 avril 2018 et du 16 juillet 2019, l’assurance a considéré que le lien de causalité entre l’événement du 26 août 2017 et les troubles de la santé était terminé dès le 26 novembre 2017, soit trois mois après l’accident. De son côté, l’assuré a attribué sa rechute du mois de janvier 2018, aux suites de l’accident du 26 août 2017. À l’appui de ses dires, il invoque des éléments subjectifs, soit les douleurs ressenties et des éléments objectifs, soit le questionnaire médical rempli par le Dr G______ le 25 octobre 2018. Qualifié de succinct par le médecin-conseil de l’assurance, ledit questionnaire ne remplit pas les réquisits d’une expertise, ni même d’un rapport médical. À la question de savoir si l’accident du 26 août 2017 a un lien au moins partiel avec l’état tel qu’il se présentait en janvier 2018, le médecin répond « oui ». À la question de savoir si des facteurs</w:t>
      </w:r>
    </w:p>
    <w:p>
      <w:r>
        <w:t>A/4495/2019 - 18/21 - étrangers ont joué un rôle, il répond « non ». À la question peut-on considérer comme le fait SWICA, qu’en janvier 2018 plus particulièrement lors de l’IRM du</w:t>
      </w:r>
    </w:p>
    <w:p>
      <w:r>
        <w:rPr>
          <w:b/>
        </w:rPr>
        <w:t>E. 19</w:t>
      </w:r>
    </w:p>
    <w:p>
      <w:r>
        <w:t>janvier 2018 et du 21 août 2018, la chambre de céans estime qu’il est établi que des troubles dégénératifs existaient avant l’accident du 26 août 2017. Partant, il convient d’admettre qu’il n’y a pas de lien entre les troubles de la santé du recourant apparus en janvier 2018 et l’accident. Au niveau de la vraisemblance prépondérante, aucun élément ne permet de douter de la date fixée par le médecin- conseil de l’assurance pour le rétablissement du statu quo ante, soit le 26 novembre 2017. 17. Compte tenu de ce qui précède, le recours est rejeté. 18. Pour le surplus, la procédure est gratuite (art. 61 let. a LPGA).</w:t>
      </w:r>
    </w:p>
    <w:p>
      <w:r>
        <w:t>A/4495/2019 - 21/21 -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