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ATAS/1149/2017 vom 14. Dezember 2017</w:t>
      </w:r>
    </w:p>
    <w:p>
      <w:r>
        <w:t>GE Cour de justice, 2017-12-14, FR</w:t>
      </w:r>
    </w:p>
    <w:p>
      <w:r>
        <w:rPr>
          <w:b/>
        </w:rPr>
        <w:t xml:space="preserve">Quelle: </w:t>
      </w:r>
      <w:r>
        <w:t>https://mcp.opencaselaw.ch/entscheid/ge_gerichte_ATAS_1149_2017</w:t>
      </w:r>
    </w:p>
    <w:p>
      <w:r>
        <w:t>FR: GE_GERICHTE ATAS/1149/2017 du 14 décembre 2017</w:t>
      </w:r>
    </w:p>
    <w:p>
      <w:r>
        <w:t>IT: GE_GERICHTE ATAS/1149/2017 del 14 dicembre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3</w:t>
      </w:r>
    </w:p>
    <w:p>
      <w:r>
        <w:t>a. Aux termes de l’art. 60 LPGA, le recours doit être déposé dans les trente jours suivant la notification de la décision sujette à recours (al. 1). Les art. 38 à 41 sont applicables par analogie (al. 2). Si le délai, compté par jours ou par mois, doit être communiqué aux parties, il commence à courir le lendemain de la communication (art. 38 al. 1 LPGA). Lorsque le délai échoit un samedi, un dimanche ou un jour férié selon le droit fédéral ou cantonal, son terme est reporté au premier jour ouvrable qui suit (art. 38 al. 3, 1ère phrase LPGA). Les délais en jours ou en mois fixés par la loi ou par l’autorité ne courent pas du 7ème jour avant Pâques au 7ème jour après Pâques inclusivement (art. 38 al. 4 let. a LPGA). b. En 2017, le dimanche de Pâques tombait le 16 avril.</w:t>
      </w:r>
    </w:p>
    <w:p>
      <w:r>
        <w:t>A/1640/2017 - 9/22 - Datée du 21 mars 2017, la décision entreprise a été reçue le lendemain par la recourante, de sorte que le délai de recours a commencé à courir le 23 mars 2017 avant d’être suspendu du 9 au 23 avril 2017. Ayant repris son cours le 24 avril, il est arrivé à échéance le samedi 6 mai mais son terme a été reporté au premier jour ouvrable qui suit, soit au lundi 8 mai 2017. Posté le 5 mai 2017, le recours a été ainsi interjeté en temps utile. Respectant également les formes prescrites par la loi, il est recevable (art. 56 à 61 LPGA).</w:t>
      </w:r>
    </w:p>
    <w:p>
      <w:r>
        <w:rPr>
          <w:b/>
        </w:rPr>
        <w:t>E. 4</w:t>
      </w:r>
    </w:p>
    <w:p>
      <w:r>
        <w:t>Le litige porte, d’une part, sur le degré d’invalidité de la recourante, en particulier son droit à une rente et à des prestations pour soins et remboursement de frais, d’autre part, sur le montant de l’indemnité pour atteinte à l’intégrité qui doit lui être accordée.</w:t>
      </w:r>
    </w:p>
    <w:p>
      <w:r>
        <w:rPr>
          <w:b/>
        </w:rPr>
        <w:t>E. 5</w:t>
      </w:r>
    </w:p>
    <w:p>
      <w:r>
        <w:t>a. Aux termes de l'art. 6 al. 1 LAA, les prestations d'assurance sont allouées en cas d'accident professionnel, non professionnel et de maladie professionnelle. Par accident, on entend toute atteinte dommageable, soudaine et involontaire, portée au corps humain par une cause extérieure extraordinaire qui compromet la santé physique, mentale ou psychique ou qui entraîne la mort (art. 4 LPGA). b.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En présence d'une atteinte à la santé physique, le problème de la causalité adéquate ne se pose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w:t>
      </w:r>
    </w:p>
    <w:p>
      <w:r>
        <w:rPr>
          <w:b/>
        </w:rPr>
        <w:t>E. 6</w:t>
      </w:r>
    </w:p>
    <w:p>
      <w:r>
        <w:t>a.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b.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En dérogation à ce principe, l’art. 21 al. 1 LAA prévoit que lorsque la rente a été fixée, les prestations pour soins et remboursement de frais (art. 10 à 13 LAA) sont accordées à son bénéficiaire</w:t>
      </w:r>
    </w:p>
    <w:p>
      <w:r>
        <w:t>A/1640/2017 - 10/22 - notamment lorsqu’il souffre d’une maladie professionnelle (let. a), d’une rechute ou des séquelles tardives et que des mesures médicales amélioreraient notablement sa capacité de gain ou empêcheraient un notable diminution de celle-ci (let. b) ou lorsqu’il a besoin de manière durable d’un traitement et de soins pour conserver sa capacité résiduelle de gain (let. c).</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8</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w:t>
      </w:r>
    </w:p>
    <w:p>
      <w:r>
        <w:t>A/1640/2017 - 11/22 -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w:t>
      </w:r>
    </w:p>
    <w:p>
      <w:r>
        <w:t>A/1640/2017 - 12/22 - SVR 2010 IV n. 49 p. 151, consid. 3.5 ; arrêt du Tribunal fédéral 8C_760/2011 du 26 janvier 2012 consid. 3).</w:t>
      </w:r>
    </w:p>
    <w:p>
      <w:r>
        <w:rPr>
          <w:b/>
        </w:rPr>
        <w:t>E. 11</w:t>
      </w:r>
    </w:p>
    <w:p>
      <w:r>
        <w:t>a. En l’espèce, l’intimée, se fondant sur le rapport d’expertise du Dr F______, a considéré qu’une amélioration notable de l’état de santé de la recourante ne pouvait plus être attendue et que cet état était désormais stabilisé. La capacité de travail était nulle dans l’activité habituelle d’aide de cuisine mais entière dans une activité adaptée (pas de port de charges de plus de 2 kg et pas de mouvement ni d’activité au- dessus de l’épaule). Ce faisant, Dr F______ tient compte des douleurs résiduelles, plus ou moins maîtrisées par traitement antalgique quotidien, et d’une mobilité qui n’a été récupérée que partiellement. L’expert relève en outre qu'à l’examen clinique, qu’il n’y a pas de signe objectif d’allergie ou de mauvaise tolérance en relation avec le matériel de prothèse. b. Fondée sur l’ensemble du dossier, retraçant une anamnèse fouillée et tenant compte des plaintes de la recourante, cette expertise comporte un status objectif détaillé et nuancé, ainsi que des conclusions convaincantes, de sorte qu’elle doit en principe se voir reconnaître valeur probante. c. Par ailleurs, les conclusions du Dr F______ sont confirmées par rapport du 23 mars 2016 du Dr D______, dans lequel celui-ci a admis une capacité de travail entière à long terme dans une activité adaptée, après une période d'adaptation avec un temps de présence de six heures par jour, pendant quatre jours par semaine, et avec un rendement de 50% d’un travail à temps plein dans un premier temps. En ne supprimant les indemnités journalières qu'au 31 août 2016, l'intimée a tenu compte de cette période d'adaptation qui revient en fait à une capacité de travail limitée dans un premier temps. Quant au Dr I______, il ne se prononce pas sur la capacité de travail de la recourante dans une activité adaptée mais se contente d’affirmer dans son premier rapport, du 2 novembre 2016, que l’exercice de l’activité habituelle d’aide de cuisine n’est plus exigible. Dans son rapport du 16 novembre 2016, il semble considérer qu'il y a une diminution de la capacité de travail de plus de 10% dans une activité adaptée, au vu des importantes limitations fonctionnelles. Ce faisant, il ne s'appuie cependant pas sur des éléments médicaux nouveaux qui auraient été ignorés par le Dr F______, si bien que son appréciation divergente ne permet pas de mettre en doute les conclusions de l'expert. La recourante fait valoir qu’aux termes du rapport du 18 juillet 2016 du docteur G______, spécialiste FMH en médecine nucléaire, il existerait une anomalie au niveau de la partie inférieure des vis de l’implant glénoïdien de la prothèse d’épaule. Toutefois, le Dr G______ précise que l’interprétation pathologique de cette (seule) anomalie décelable au niveau de la prothèse demeure incertaine, dès lors il existe à ce niveau un remodelage ostéolastique dont l’intensité très modérée est proche du remodelage arthrosique des articulations acromio-claviculaires. Cela étant, il se demande s'il s'agit d'une instabilité mécanique des vis prothétiques, laquelle instabilité pourrait favoriser la progression du spicule osseux situé juste en dessous de cette zone de contrainte. Ces constatations – qui ne débouchent que sur</w:t>
      </w:r>
    </w:p>
    <w:p>
      <w:r>
        <w:t>A/1640/2017 - 13/22 - de simples conjectures – ne sont pas suffisamment étayées pour considérer qu’il existerait un élément important qui aurait été ignoré par l’expert et qui permettrait de conclure à diminution de la capacité de travail dans une activité adaptée. La recourante fait également valoir que le fait d’être toujours sous traitement antidouleur démontrerait que son état n’est pas stabilisé. Cet argument ne saurait être suivi. En effet, la prescription d’une mesure thérapeutique, ayant uniquement pour effet d’atténuer passagèrement les plaintes liées à un état stationnaire en soi, ne fait pas obstacle à la clôture du cas par l’assureur (arrêt du Tribunal fédéral des assurances U 244/04 du 20 mai 2005 consid. 3.1). Il découle de ce qui précède que les rapports des Drs D______, I______ et G______ ainsi que les arguments avancés par la recourante ne sont pas de nature à remettre en cause le rapport d’expertise du Dr F______ en tant que celui-ci conclut à une stabilisation de l’état de santé et à une capacité de travail entière dans une activité adaptée. Compte tenu de ces éléments, la chambre de céans ne s’écartera pas de la pleine capacité de travail retenue par l’intimée dans toute activité adaptée et considèrera qu’il est établi, au degré de la vraisemblance prépondérante, que l’état de santé de la recourante était stabilisé à la date de l’expertise. En conséquence, l’intimée était en droit de mettre un terme aux indemnités journalières et, partant, d’examiner le droit à une rente d’invalidité et à une indemnité pour atteinte à l’intégrité corporelle (ATF 134 V 109 consid. 4.1 ; arrêt du Tribunal fédéral 8C_443/2016 du 11 août 2016 consid. 2.2).</w:t>
      </w:r>
    </w:p>
    <w:p>
      <w:r>
        <w:rPr>
          <w:b/>
        </w:rPr>
        <w:t>E. 12</w:t>
      </w:r>
    </w:p>
    <w:p>
      <w:r>
        <w:t>Il convient en premier lieu d’examiner le degré d’invalidité.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ces éléments sont pris en compte au travers du montant du gain assuré (arrêt du Tribunal fédéral 8C_708/200 du 21 août 2008 consid. 5.5). Lorsqu'on peut partir de l'idée que l'assuré aurait continué son activité professionnelle sans la survenance de l'atteinte à la santé, on prendra en compte le revenu qu'il obtenait dans le poste occupé jusqu'alors (RAMA 2006 n° U 568 p. 66, consid. 2; arrêt du Tribunal fédéral 8C_708/2007 du 21 août 2008 consid. 5.5). c.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w:t>
      </w:r>
    </w:p>
    <w:p>
      <w:r>
        <w:t>A/1640/2017 - 14/22 -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2ème éd. 2010, p. 294 ss). Le revenu d'invalide doit être évalué avant tout en fonction de la situation professionnelle concrète de l'intéressé. L'administration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Cela étant, lorsqu'il est clair d'emblée que l'exercice d'activités relativement variées est encore exigible de l'intéressé, un renvoi général à un marché du travail équilibré, structuré de telle sorte qu'il offre un éventail d'emplois diversifié, est suffisant (arrêt du Tribunal fédéral des assurances I 778/05 du 11 janvier 2007 consid. 6.2 et les références).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 Lorsqu'il s'agit d'évaluer l'invalidité d'un assuré qui se trouve proche de l'âge donnant droit à la rente de vieillesse, il faut procéder à une analyse globale de la situation et se demander si, de manière réaliste, cet assuré est en mesure de</w:t>
      </w:r>
    </w:p>
    <w:p>
      <w:r>
        <w:t>A/1640/2017 - 15/22 -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(arrêt du Tribunal fédéral des assurances I 304/06 du 22 janvier 2007 consid. 4.2). Notre Haute Cour a en revanche nié la possibilité de valoriser la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w:t>
      </w:r>
    </w:p>
    <w:p>
      <w:r>
        <w:rPr>
          <w:b/>
        </w:rPr>
        <w:t>E. 13</w:t>
      </w:r>
    </w:p>
    <w:p>
      <w:r>
        <w:t>a. En l'espèce, le revenu sans invalidité n’est pas contesté par la recourante.</w:t>
      </w:r>
    </w:p>
    <w:p>
      <w:r>
        <w:t>A/1640/2017 - 16/22 - S’agissant du revenu d’invalide, l’intimée s’est basée sur un salaire statistique de CHF 4'300.- (soit CHF 51'600.- par an selon l’ESS 2014, tableau TA 1, tirage « skill level », rubrique totale, femmes, niveau de formation 1, activités simples). En tenant compte d’une durée hebdomadaire de travail de 41.7 heures, cela correspond à CHF 53’793.- (51'600 x 41.7 / 40), respectivement CHF 54'332.- après renchérissement de 0.5% en 2015 comme en 2016, montant duquel l’intimée a déduit 10% pour tenir compte des limitations fonctionnelles, aboutissant ainsi à un revenu déterminant de CHF 48'899.-. b. La recourante conteste ce calcul en ce qui concerne le taux d'abattement appliqué au salaire statistique retenu à titre de salaire d'invalide. Elle fait valoir à cet égard que l’OAI a tenu compte non seulement de ses limitations fonctionnelles mais aussi de son l’âge. Pour sa part, l’intimée soutient que ce dernier facteur ne jouerait aucun rôle et qu’une réduction du revenu d’invalide de 10% serait correcte pour des personnes ayant subi des lésions au membre supérieur gauche et pouvant travailler avec le membre supérieur droit. Il est vrai que, selon la jurisprudence en la matière, le marché équilibré du travail comprend un éventail suffisamment large d’activités adaptées à des personnes qui ne disposent fonctionnellement que d’un bras et ne peuvent, pour le surplus, exécuter que des tâches légères (cf. arrêt du Tribunal fédéral 8C_622/2016 du 21 décembre 2016 consid. 5.2.2 et les arrêts cités). Sur ce même marché, il existe également une demande pour des activités non qualifiées, qui n’est en principe pas fonction de l’âge, de sorte que ce facteur n’est pas (nécessairement) synonyme de diminution de revenu (arrêt du Tribunal fédéral 9C_808/2015 du 29 février 2016 consid. 4.2 et les arrêts cités). Une réduction de 10% du revenu d’invalide a été confirmée à plusieurs reprises par le Tribunal fédéral en présence d’un handicap affectant un des membres supérieurs (cf. notamment l’arrêt 8C_622/2016 précité ainsi que les arrêts du Tribunal fédéral 8C_366/2013 du 18 juin 2013 et 8C_142/2009 du 12 juin 2009). En l’occurrence, la recourante était âgée de 58 ans au moment de la décision querellée. Même s’il est vrai qu’une telle circonstance ne conduit pas ipso facto à une réduction du revenu d’invalide, un âge relativement avancé – comme dans le cas particulier – n’en constitue pas moins un facteur de réduction (cf. ci-dessus : consid. 12d) dont la pertinence doit être examinée au regard de toutes les circonstances concrètes du cas (arrêt du Tribunal fédéral 9C_334/2013 du 24 juillet 2013 consid. 3). Or, celles-ci se caractérisent par le fait que l’intéressée a exercé, tout au long de sa vie professionnelle, commencée à l’âge de 19 ans, le métier de cuisinière et ce, dans une position subalterne depuis son arrivée en Suisse (cf. dossier AI, doc 55 p. 8 et doc. 112 p. 7), qu’elle n’a pas d’autre expérience professionnelle à son actif et que cette activité n’est médicalement plus exigible. Ce sont là autant d’éléments qui, à 58 ans – âge auquel les coûts de la prévoyance professionnelle sont inversement proportionnels à la durée prévisible des rapports de travail – compliquent de manière significative son accès au marché du travail.</w:t>
      </w:r>
    </w:p>
    <w:p>
      <w:r>
        <w:t>A/1640/2017 - 17/22 - En revanche, la recourante n’était pas suffisamment âgée au moment déterminant pour rendre la perspective d’un engagement totalement irréaliste selon les critères jurisprudentiels. Dans ces circonstances, l’intimée n’était pas fondée à écarter le critère de l’âge dans la détermination de l’abattement. Aussi convient-il de porter celui-ci à 15%, à l'instar de l'OAI, en tenant compte non seulement des limitations fonctionnelles, mais aussi de l’âge de l’intéressée, ce qui correspond à une réduction de CHF 8'149.80 (15 x 54'332 / 100) en lieu et place de CHF 5'433.25. Par conséquent, le revenu d’invalide s’établit à CHF 46'182.20 et la perte de gain à CHF 6'621.10 (52'803.30 – 46'182.20). Pour le reste, le calcul du taux d’invalidité ne prête pas le flanc à la critique. c. En définitive, la comparaison des gains conduit à un degré d’invalidité de 12.53% (6'621.10 x 100 / 52'803.30), taux qu’il convient d’arrondir à 13%. Partant, la recourante a droit à une rente d’invalidité de ce pourcentage.</w:t>
      </w:r>
    </w:p>
    <w:p>
      <w:r>
        <w:rPr>
          <w:b/>
        </w:rPr>
        <w:t>E. 14</w:t>
      </w:r>
    </w:p>
    <w:p>
      <w:r>
        <w:t>a. Il convient à présent d’examiner si la recourante a droit à la prise en charge de son traitement médical au-delà du 31 août 2016. La recourante soutient que tel est le cas dans la mesure où les traitements prescrits par le Dr H______ seraient nécessaires pour maintenir sa capacité de gain et/ou empêcher que son état de santé ne subisse une notable détérioration. L’intimée ne prend pas position à ce sujet et se limite à faire valoir que l’art. 21 LAA n’est pas applicable lorsqu’un assuré ne peut prétendre à une rente en raison d’une incapacité de gain nulle ou inférieure à 10% (cf. arrêt du Tribunal fédéral 8C_191/2011 du 16 septembre 2011 consid. 5.2). Étant donné que la recourante a droit à une rente d’invalidité de 13%, se pose la question de savoir à quelles conditions un traitement médical doit être pris en charge par l’intimée après la fixation de la rente. b. L'art. 21 al. 1 let. d LAA vise les bénéficiaires de rente totalement invalides (ATF 140 V 130 consid. 2.3 p. 133; 124 V 52 consid. 4 p. 57; SVR 2012 UV n° 6 p. 21, déjà cité, consid. 5.2; arrêts du Tribunal fédéral 8C_275/2016 du 21 octobre 2016 consid. 3; 8C_332/2012 du 18 avril 2013 consid. 1), soit une éventualité qui n'est pas réalisée en l'espèce. L'art. 21 al. 1 let. a et b LAA n'entre pas non plus en considération dans le cas particulier. Quant à l'art. 21 al. 1 let. c LAA, il subordonne la prise en charge ou le maintien du traitement médical après la fixation de la rente d'invalidité à la condition que le bénéficiaire de cette prestation en ait besoin de manière durable pour conserver sa capacité résiduelle de gain (« zur Erhaltung seiner verbleibenden Erwerbsfähigkeit » ; « per mantenere la capacità residua di guadagno »). Si cette condition n'est pas réalisée, le traitement médical requis doit être pris en charge par l'assurance-maladie obligatoire (ATF 140 V 130 consid. 2.2 ; 134 V 109 consid. 4.2 ; arrêt du Tribunal fédéral 8C_518/2016 du 8 mai 2017 consid. 3.4).</w:t>
      </w:r>
    </w:p>
    <w:p>
      <w:r>
        <w:t>A/1640/2017 - 18/22 - c. Selon le Dr F______ considère que la recourante a besoin de contrôles réguliers de sa prothèse et d’une antalgie au long court, à prescrire régulièrement et à adapter en fonction de l’évolution de la symptomatologie douloureuse. Quant au Dr H______, il mentionne dans la prescription de physiothérapie du 24 février 2017, que le but du traitement est analgésique/anti-inflammatoire et vise également à améliorer la fonction articulaire et musculaire. Aussi bien le bon fonctionnement articulaire et musculaire de l'épaule que le traitement de la douleur paraissent indispensables au maintien de la capacité de gain de la recourante. Par conséquent, celle-ci peut prétendre à la prise en charge de ces traitements, outre les contrôles réguliers de sa prothèse.</w:t>
      </w:r>
    </w:p>
    <w:p>
      <w:r>
        <w:rPr>
          <w:b/>
        </w:rPr>
        <w:t>E. 15</w:t>
      </w:r>
    </w:p>
    <w:p>
      <w:r>
        <w:t>Il reste à examiner le montant de l’indemnité pour atteinte à l’intégrité corporelle (IPAI). La recourante conteste le taux de 20% retenu par l’intimée et conclut à ce qu’il soit augmenté à 50%.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w:t>
      </w:r>
    </w:p>
    <w:p>
      <w:r>
        <w:t>A/1640/2017 - 19/22 -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b. Selon l’art. 36 OLAA édicté conformément à la délégation de compétence de l’art. 25 al. 2 LAA, une atteinte à l'intégrité est réputée durable lorsqu'il est prévisible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1ère phrase). Le taux d'une atteinte à l'intégrité doit être évalué exclusivement sur la base de constatations médicales (ATF 115 V 147 consid. 1; ATF 113 V 218 consid. 4b; RAMA 2004 p. 415; arrêt du Tribunal fédéral des assurances U 134/03 du 12 janvier 2004 consid. 5.2).</w:t>
      </w:r>
    </w:p>
    <w:p>
      <w:r>
        <w:rPr>
          <w:b/>
        </w:rPr>
        <w:t>E. 16</w:t>
      </w:r>
    </w:p>
    <w:p>
      <w:r>
        <w:t>Depuis janvier 2016, le montant maximal du gain assuré s’élève à CHF 148'200.- par an et CHF 406.- par jour (art. 22 al. 1 de l'ordonnance sur l'assurance-accidents, du 20 décembre 1982 [OLAA ; RS 832.202]). Entre le 1er janvier 2008 et le 31 décembre 2015, ce montant s'élevait à CHF 126'000.- par an et CHF 346.- par jour (art. 22 al. 1 aOLAA; (RO 2007 p. 3667).</w:t>
      </w:r>
    </w:p>
    <w:p>
      <w:r>
        <w:rPr>
          <w:b/>
        </w:rPr>
        <w:t>E. 17</w:t>
      </w:r>
    </w:p>
    <w:p>
      <w:r>
        <w:t>a. L’annexe 3 à l'OLAA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w:t>
      </w:r>
    </w:p>
    <w:p>
      <w:r>
        <w:t>A/1640/2017 - 20/22 -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Lorsqu’une atteinte à l’intégrité ne figure ni à l’annexe 3 de l’OLAA, ni dans les tables de la SUVA, il convient de l’apprécier en la comparant à d’autres atteintes (ATF 113 V 218 consid. 3 ; Alexandra RUMO-JUNGO, André Pierre HOLZER, Bundesgesetz über die Unfallversicherung, 4ème éd. 2011, in MURER/STAUFFER [éd.], Rechtsprechung des Bundesgerichts zum Sozialversicherungsrecht). Selon l’annexe 3 à l’OLAA, une luxation récidivante de l’épaule correspond à un taux de 10% et la perte d’un bras, au niveau du coude ou au-dessus, à un taux de 50%. À teneur de la table 5.2 de la SUVA relative à l’indemnisation des atteintes à l’intégrité résultant d’arthroses, une endoprothèse (gléno-humérale) de l’épaule avec un résultat bon correspond à un taux de 15-20%. b. En l’espèce, le Dr F______ retient dans son expertise que l’atteinte à l’intégrité peut être estimée à 20%, compte tenu d’une endoprothèse de l’épaule « avec résultat satisfaisant ». Pour sa part, la recourante ne produit pas de rapport divergeant se prononçant sur la question spécifique de l’IPAI. Se référant au rapport du Dr G______, elle soutient qu’il existe une anomalie au niveau de la partie inférieure des vis de l’implant glénoïdien de la prothèse d’épaule. De plus, elle serait toujours en proie à des douleurs. Ces arguments ne sauraient être suivis. En effet, comme le Dr G______ le relève lui-même, l’interprétation pathologique de ladite anomalie demeure incertaine, de sorte qu’on ne saurait conclure, sur la base d’un tel rapport, que l’on serait en présence d’une « endoprothèse avec résultat mauvais », éventualité pour laquelle la table 5.2 prévoit un taux de 25%. En outre, on rappellera que l’IPAI a précisément pour but d’offrir une forme de réparation morale, notamment pour les douleurs dont il y a lieu d'admettre qu'elles subsisteront la vie durant (cf. ci-dessus : consid. 16a). À cet égard, l’expert F______ a expressément tenu compte du fait qu’une antalgie au long court était à prescrire régulièrement et à adapter en fonction de l’évolution de la symptomatologie douloureuse. Enfin, en tenant compte du fait que pour une atteinte similaire (épaule mobile jusqu’à l’horizontale), la table 1 de la SUVA prévoit une IPAI de 15%, l’appréciation du Dr F______, fondée sur la table 5.2, ne prête pas le flanc à la critique.</w:t>
      </w:r>
    </w:p>
    <w:p>
      <w:r>
        <w:t>A/1640/2017 - 21/22 -</w:t>
      </w:r>
    </w:p>
    <w:p>
      <w:r>
        <w:rPr>
          <w:b/>
        </w:rPr>
        <w:t>E. 18</w:t>
      </w:r>
    </w:p>
    <w:p>
      <w:r>
        <w:t>Partant, la décision querellée sera confirmée en tant qu’elle fixe l’indemnité pour atteinte à l’intégrité à CHF 25'200.-, soit 20% du montant du gain maximum assuré en 2012.</w:t>
      </w:r>
    </w:p>
    <w:p>
      <w:r>
        <w:rPr>
          <w:b/>
        </w:rPr>
        <w:t>E. 19</w:t>
      </w:r>
    </w:p>
    <w:p>
      <w:r>
        <w:t>Compte tenu de ce qui précède, le recours sera partiellement admis et la décision du</w:t>
      </w:r>
    </w:p>
    <w:p>
      <w:r>
        <w:rPr>
          <w:b/>
        </w:rPr>
        <w:t>E. 21</w:t>
      </w:r>
    </w:p>
    <w:p>
      <w:r>
        <w:t>mars 2017 réformée dans le sens que la recourante a droit à une rente de 13%, ainsi qu'aux traitements médicaux sous forme de contrôles réguliers de sa prothèse, de traitements antalgiques et de physiothérapie de l'épaule. Cette décision sera confirmée pour le surplus. 20. La recourante obtenant partiellement gain de cause, une indemnité de CHF 2'500.- lui sera accordée à titre de participation à ses frais et dépens (art. 61 let. g LPGA : art. 6 du règlement sur les frais, émoluments et indemnités en matière administrative du 30 juillet 1986 [RFPA – E 5 10]. Pour le surplus, la procédure est gratuite (art. 89H al. 4 LPA).</w:t>
      </w:r>
    </w:p>
    <w:p>
      <w:r>
        <w:t>*****</w:t>
      </w:r>
    </w:p>
    <w:p>
      <w:r>
        <w:t>A/1640/2017 - 22/22 -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