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ATAS/1149/2012 vom 24. September 2012</w:t>
      </w:r>
    </w:p>
    <w:p>
      <w:r>
        <w:t>GE Cour de justice, 2012-09-24, FR</w:t>
      </w:r>
    </w:p>
    <w:p>
      <w:r>
        <w:rPr>
          <w:b/>
        </w:rPr>
        <w:t xml:space="preserve">Quelle: </w:t>
      </w:r>
      <w:r>
        <w:t>https://mcp.opencaselaw.ch/entscheid/ge_gerichte_ATAS_1149_2012</w:t>
      </w:r>
    </w:p>
    <w:p>
      <w:r>
        <w:t>FR: GE_GERICHTE ATAS/1149/2012 du 24 septembre 2012</w:t>
      </w:r>
    </w:p>
    <w:p>
      <w:r>
        <w:t>IT: GE_GERICHTE ATAS/1149/2012 del 24 settembre 2012</w:t>
      </w:r>
    </w:p>
    <w:p>
      <w:pPr>
        <w:pStyle w:val="Heading2"/>
      </w:pPr>
      <w:r>
        <w:t>Erwägungen</w:t>
      </w:r>
    </w:p>
    <w:p>
      <w:r>
        <w:rPr>
          <w:b/>
        </w:rPr>
        <w:t>E. 1</w:t>
      </w:r>
    </w:p>
    <w:p>
      <w:r>
        <w:t>Conformément à l'art. 134 al. 1 let. a ch. 5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A/1064/2012 - 4/8 -</w:t>
      </w:r>
    </w:p>
    <w:p>
      <w:r>
        <w:rPr>
          <w:b/>
        </w:rPr>
        <w:t>E. 2</w:t>
      </w:r>
    </w:p>
    <w:p>
      <w:r>
        <w:t>Est litigieux le droit à une rente entière d'invalidité du recourant. a.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Un assureur ne</w:t>
      </w:r>
    </w:p>
    <w:p>
      <w:r>
        <w:t>A/1064/2012 - 5/8 - peut se contenter de reprendre simplement et sans plus ample examen le taux d'invalidité fixé par l'autre assureur, car un effet obligatoire aussi étendu ne se justifierait pas (ATF 133 V 549 consid. 6; 131 V 362 consid. 2.2). b.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181 consid. 3.1; 119 V 337 consid. 1; 118 V 289 consid. 1b).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 3.a En l'espèce, le Dr C_________, spécialiste FMH en chirurgie et orthopédie auprès de l'intimée, a procédé à une appréciation médicale le 22 avril 2009 dans laquelle il a exposé, de manière circonstanciée, avoir de sérieux doutes sur le diagnostic de</w:t>
      </w:r>
    </w:p>
    <w:p>
      <w:r>
        <w:t>A/1064/2012 - 6/8 - rupture partielle du sous-scapulaire dont le médecin-traitant avait évoqué la possibilité en 1997.</w:t>
      </w:r>
    </w:p>
    <w:p>
      <w:r>
        <w:t>Les Drs D_________ et E_________ du Département de chirurgie des HUG, mis en œuvre par le recourant, ont conclu, dans leur rapport du 9 juillet 2010, à une déchirure traumatique de la coiffe des rotateurs droite au dépend du tendon sous- scapulaire. Ce diagnostic leur paraissait "plus probable" au vu de l'arthro-CT du 12 décembre 1997, de la littérature médicale et de l'anamnèse de l'accident. A la suite de ce rapport, le Dr C_________ a sollicité un complément d'investigation sous forme d'arthro-IRM, voire de radiographies conventionnelles. L'examen radiologique de l'épaule droite pratiqué le 19 mai 2011 par le Dr F_________ n'a révélé aucune lésion des tendons de la coiffe des rotateurs. Il a en revanche mis en évidence une ancienne lésion à l'insertion du tendon du sous- scapulaire ainsi qu'une arthrose hypertrophique de l'articulation acromio- claviculaire dans un contexte dégénératif. A la suite de cet examen, le Dr C_________ a retenu, le 15 juin 2011, une lésion du sous-scapulaire d'origine traumatique et proposé le versement d'une indemnité pour atteinte à l'intégrité. L'expertise très détaillée du BREM, réalisée en mars 2011 à la demande de l'assurance-invalidité, évoque l'accident de 1997 (p. 29). Les séquelles de l'accident de 1997 ne sont cependant pas examinées plus avant; les pièces médicales de 2011 et celles de 1997 et 1998 s'y rapportant ne figurent d'ailleurs pas sur la liste des éléments médicaux pris en compte par les experts du BREM. L'atteinte au sous- scapulaire n'est, en outre, pas mentionnée dans les diagnostics. Le rapport du BREM ne permet donc pas de déterminer si l'atteinte précitée influe sur la capacité de travail du recourant. Cela étant, ce dernier a travaillé à 100% dans son activité habituelle après l'accident, d'août 1998 à mai 2005. Certes, le recourant soutient avoir pendant cette période rencontré d'importantes douleurs à l'épaule, d'une part. D'autre part, une atteinte d'origine traumatique à l'épaule a été constatée et a donné lieu à une indemnité pour atteinte à l'intégrité. Toutefois, l'incapacité de travail survenue en mai 2005 est due, selon les experts du BREM et comme le reconnaît lui-même le recourant (recours, p. 3, pt 15), à la pathologie rachidienne. Par ailleurs, le médecin traitant, le Dr B_________, qui avait diagnostiqué une suspicion de rupture du sous-scapulaire, avait constaté dans son rapport intermédiaire du 11 août 1998 que le patient pouvait reprendre une activité à 100%, que son employeur ne devait pas prévoir de lui procurer un travail approprié et qu'il n'y avait pas de dommage permanent à craindre. En outre, le dossier ne contient pas d'éléments indiquant que les douleurs ressenties à l'épaule droite auraient conduit le recourant à consulter son médecin à nouveau en vue d'un arrêt de travail ou d'un traitement médicamenteux</w:t>
      </w:r>
    </w:p>
    <w:p>
      <w:r>
        <w:t>A/1064/2012 - 7/8 - contre les douleurs. Les certificats médicaux et de son chiropraticien qu'il produits avec son recours sont tous bien postérieurs aux années 1998 à 2005. Au vu de ces éléments et en particulier de la capacité de travail totale et ininterrompue pendant près de sept ans après l'accident de 1997, la Cour retiendra, au degré de la vraisemblance confinant à la certitude, que les séquelles de l'accident de 1997 n'ont pas de répercussions sur la capacité de travail du recourant. b. S'agissant de l'accident ayant touché l'humérus gauche, le Dr C_________ le qualifie de "pathologique" dans la mesure où la fracture était localisée à hauteur d'un kyste osseux. Au plan radiologique, la consolidation de la fracture a été acquise en bonne position. Au plan fonctionnel, il y a une limitation de l'abduction de l'épaule gauche et la rotation interne est limitée des deux côtés. Le Dr C_________ a relevé qu'il ignorait l'origine de cette entrave. Le Dr G_________ n'avait pas non plus trouvé d'explication plausible à ce phénomène. Le médecin d'arrondissement a conclu en signalant qu'il n'était pas certain que les limitations des la mobilité articulaires se fondaient sur un substrat organique vérifiable.</w:t>
      </w:r>
    </w:p>
    <w:p>
      <w:r>
        <w:t>L'absence de séquelles liées au second accident est corroborée par le rapport du médecin-traitant, le Dr H_________, du 30 août 2007 qui retient qu'il ne restait à cette date que les "séquelles du kyste". Une reprise de travail, en ce qui ne concerne que la fracture de l'humérus, était en théorie envisageable à 50% le 3 septembre et à 100% le 2 novembre 2007. Par ailleurs, les Drs D_________ et E_________ du Département de chirurgie des HUG parviennent, dans leur rapport du 9 juillet 2010, à la même conclusion: la fracture était totalement consolidée et les pathologies que présentait le patient n'étaient pas étayées par des documents radiologiques récents et ne pouvaient que possiblement être expliquées par l'accident de 2007, "résolu à ce jour". Enfin, l'expertise réalisée par le BREM en mars 2011 constate également qu'en novembre 2007 le recourant ne souffrait plus des suites de l'accident de 2007.</w:t>
      </w:r>
    </w:p>
    <w:p>
      <w:r>
        <w:t>Au vu de ces éléments médicaux concordants, la Cour retient qu'il est établi au degré de la vraisemblance prépondérante que l'accident de 2007 n'a pas non plus induit d'incapacité de travail pouvant fonder l'allocation d'une rente d'invalidité.</w:t>
      </w:r>
    </w:p>
    <w:p>
      <w:r>
        <w:t>Contrairement à ce que sollicite le recourant, il n'y a pas lieu de requérir des renseignements médicaux complémentaires ni de procéder à d'autres actes d'instruction, la Cour ayant pu se prononcer sur les séquelles des deux accidents au regard des éléments déjà contenus au dossier.</w:t>
      </w:r>
    </w:p>
    <w:p>
      <w:r>
        <w:t>Au vu de ce qui précède, le recours doit être rejeté.</w:t>
      </w:r>
    </w:p>
    <w:p>
      <w:r>
        <w:rPr>
          <w:b/>
        </w:rPr>
        <w:t>E. 4</w:t>
      </w:r>
    </w:p>
    <w:p>
      <w:r>
        <w:t>La procédure est gratuite. * * *</w:t>
      </w:r>
    </w:p>
    <w:p>
      <w:r>
        <w:t>A/1064/2012 - 8/8 -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