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ATAS/1148/2010 vom 18. September 2008</w:t>
      </w:r>
    </w:p>
    <w:p>
      <w:r>
        <w:t>GE Cour de justice, 2008-09-18, FR</w:t>
      </w:r>
    </w:p>
    <w:p>
      <w:r>
        <w:rPr>
          <w:b/>
        </w:rPr>
        <w:t xml:space="preserve">Quelle: </w:t>
      </w:r>
      <w:r>
        <w:t>https://mcp.opencaselaw.ch/entscheid/ge_gerichte_ATAS_1148_2010</w:t>
      </w:r>
    </w:p>
    <w:p>
      <w:r>
        <w:t>FR: GE_GERICHTE ATAS/1148/2010 du 18 septembre 2008</w:t>
      </w:r>
    </w:p>
    <w:p>
      <w:r>
        <w:t>IT: GE_GERICHTE ATAS/1148/2010 del 18 settembre 2008</w:t>
      </w:r>
    </w:p>
    <w:p>
      <w:pPr>
        <w:pStyle w:val="Heading2"/>
      </w:pPr>
      <w:r>
        <w:t>Erwägungen</w:t>
      </w:r>
    </w:p>
    <w:p>
      <w:r>
        <w:rPr>
          <w:b/>
        </w:rPr>
        <w:t>E. 19</w:t>
      </w:r>
    </w:p>
    <w:p>
      <w:r>
        <w:t>juin 1959 (LAI ; RS 831.20). Que sa compétence pour juger du cas d’espèce est ainsi établie; Qu'interjeté dans les délai et forme prescrits par la loi, le recours est recevable (art. 56 ss LPGA); Que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qu'en effet, les conditions d'entrée en matière prévues par l'art. 87 al. 3 et 4 RAI ont pour but de restreindre la possibilité de présenter de manière répétée des demandes de rente identiques (ATF 133 V 108, consid. 5.3.1); Que si les allégations de l'assuré ne sont pas plausibles, l'affaire est liquidée d'entrée de cause et sans autres investigations par un refus d'entrée en matière, étant précisé que l'administration jouit sur ce point d'un certain pouvoir d'appréciation que le juge doit en principe respecter (ATF 109 V 108 consid. 2b). Que l'exigence relative au caractère plausible de la nouvelle demande selon l'art. 87 al. 3 RAI ne renvoie pas à la notion de vraisemblance prépondérante usuelle en droit des assurances sociales, les exigences de preuves étant,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que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Que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Qu'en l'espèce, il y a lieu de constater que le Tribunal de céans n'a pas tenu compte, dans son arrêt du 26 novembre 2009, du rapport du Dr A__________ du 15 octobre 2008, faisant état d'une aggravation de l'état de santé de la recourante ni de la confirmation de cette aggravation par ce médecin, lors de son audition;</w:t>
      </w:r>
    </w:p>
    <w:p>
      <w:r>
        <w:t>A/3124/2010 - 6/7 - Qu'ainsi, contrairement à ce qu'indique le Dr C__________ dans son avis médical du 5 octobre 2010, il n'a pas admis que la capacité de travail de la recourante était toujours entière dans une activité adaptée, en dépit de cette aggravation; Que si le Tribunal de céans a invité la recourante à déposer une nouvelle demande de prestations, c'est précisément parce que cette aggravation n'a pas pu être prise en considération; Que la précédente évaluation ne reposait donc pas sur le rapport du 15 octobre 2008 du Dr BUCH, de sorte que la recourante pouvait fonder sa demande de révision sur cette pièce; Qu'il convient par ailleurs de constater que l'avis du Dr A__________, exprimé dans son rapport du 15 octobre 2010 et confirmé lors de son audition devant le Tribunal de céans, avis selon lequel l'état de santé de la recourante s'est aggravé, ce qui a diminué de moitié sa capacité de travail dans une activité adaptée, n'est contredit par aucun médecin qui a examiné la recourante; Qu'en effet, le SMR s'est contenté de rendre son avis sur la base du dossier et donc sans avoir examiné la recourante; Qu'une évaluation sur dossier doit être considérée en principe comme insuffisante pour écarter l'avis du médecin traitant faisant état d'une aggravation de l'état de santé avec répercussion sur la capacité de travail; Que depuis le rapport du 15 octobre 2008 du Dr A__________, les atteintes à la santé de la recourante se sont encore péjorées dans une plus ample mesure, comme cela ressort du rapport du 31 mai 2010 de ce même médecin; Que les rapports du Dr A__________ rendent plausible une aggravation, dès lors qu'il atteste une augmentation des douleurs, des épanchements et une inflammation; Qu'il y a lieu de constater par conséquent que l'intimé a estimé à tort que la recourante avait échoué à rendre plausible la péjoration alléguée; Qu'il sied dès lors d'annuler la décision dont est recours et de renvoyer la cause à l'intimé, afin qu'il entre en matière sur la nouvelle demande et se prononce sur le droit aux mesures d'ordre professionnel, notamment à une orientation professionnelle, ainsi qu'à une rente; Que la recourante obtenant partiellement gain de cause, il convient de lui octroyer une indemnité de 800 fr. à titre de dépens.</w:t>
      </w:r>
    </w:p>
    <w:p>
      <w:r>
        <w:t>A/3124/2010 - 7/7 -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