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ATAS/1147/2019 vom 9. Dezember 2019</w:t>
      </w:r>
    </w:p>
    <w:p>
      <w:r>
        <w:t>GE Cour de justice, 2019-12-09, FR</w:t>
      </w:r>
    </w:p>
    <w:p>
      <w:r>
        <w:rPr>
          <w:b/>
        </w:rPr>
        <w:t xml:space="preserve">Quelle: </w:t>
      </w:r>
      <w:r>
        <w:t>https://mcp.opencaselaw.ch/entscheid/ge_gerichte_ATAS_1147_2019</w:t>
      </w:r>
    </w:p>
    <w:p>
      <w:r>
        <w:t>FR: GE_GERICHTE ATAS/1147/2019 du 9 décembre 2019</w:t>
      </w:r>
    </w:p>
    <w:p>
      <w:r>
        <w:t>IT: GE_GERICHTE ATAS/1147/2019 del 9 dicembre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A/3364/2018 - 15/28 -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Le litige porte sur le droit du recourant à une rente d’invalidité et à une mesure de reclassement, singulièrement sur sa capacité de travail ainsi que sur la détermination de son revenu d’invalide.</w:t>
      </w:r>
    </w:p>
    <w:p>
      <w:r>
        <w:rPr>
          <w:b/>
        </w:rPr>
        <w:t>E. 5</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et cela également en cas de dépôt d’une nouvelle demande après un premier rejet de prestation (ch. 2030 de la circulaire sur l’invalidité et l’impotence dans l’assurance- invalidité du 1er janvier 2015 - CIIAI).</w:t>
      </w:r>
    </w:p>
    <w:p>
      <w:r>
        <w:t>A/3364/2018 - 16/28 -</w:t>
      </w:r>
    </w:p>
    <w:p>
      <w:r>
        <w:rPr>
          <w:b/>
        </w:rPr>
        <w:t>E. 7</w:t>
      </w:r>
    </w:p>
    <w:p>
      <w:r>
        <w:t>a.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 une modification sensible du degré d’invalidité justifiant désormais l’octroi d’une rente. b.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w:t>
      </w:r>
    </w:p>
    <w:p>
      <w:r>
        <w:t>A/3364/2018 - 17/28 -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A/3364/2018 - 18/28 -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b.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 841/2016 du 8 février 2017 consid. 3.1 et 9C 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 14/2018 du</w:t>
      </w:r>
    </w:p>
    <w:p>
      <w:r>
        <w:rPr>
          <w:b/>
        </w:rPr>
        <w:t>E. 12</w:t>
      </w:r>
    </w:p>
    <w:p>
      <w:r>
        <w:t>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rPr>
          <w:b/>
        </w:rPr>
        <w:t>E. 13</w:t>
      </w:r>
    </w:p>
    <w:p>
      <w:r>
        <w:t>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 ATF 139 V 399).</w:t>
      </w:r>
    </w:p>
    <w:p>
      <w:r>
        <w:rPr>
          <w:b/>
        </w:rPr>
        <w:t>E. 14</w:t>
      </w:r>
    </w:p>
    <w:p>
      <w:r>
        <w:t>a. En l’occurrence, la décision de l’intimé du 18 novembre 2014 rejetant la première demande de prestations du recourant est entrée en force. Elle a considéré que ce dernier était totalement incapable de travailler dans son ancienne activité depuis le 5 juin 2012, mais totalement capable d’exercer une activité adaptée à son état de santé depuis le 6 mars 2013, de sorte que le degré d’invalidité était de 9 %. Dans la décision subséquente, litigieuse, du 24 août 2018, l’intimé rejette la nouvelle demande de prestations du recourant en se référant à l’instruction médicale menée par le SMR, lequel, dans son avis du 15 novembre 2017, a estimé que la capacité de travail du recourant était nulle dès le 5 juin 2012 et totale dans une activité adaptée dès le 24 septembre 2015.</w:t>
      </w:r>
    </w:p>
    <w:p>
      <w:r>
        <w:t>A/3364/2018 - 24/28 - b. Le recourant invoque le caractère erroné de la décision du 18 novembre 2014 ; il considère en outre que la décision du 24 août 2018 a reconsidéré celle du</w:t>
      </w:r>
    </w:p>
    <w:p>
      <w:r>
        <w:rPr>
          <w:b/>
        </w:rPr>
        <w:t>E. 18</w:t>
      </w:r>
    </w:p>
    <w:p>
      <w:r>
        <w:t>Au vu de ce qui précède, le recours ne peut qu’être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A/3364/2018 - 28/28 -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