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ATAS/1146/2019 vom 9. Dezember 2019</w:t>
      </w:r>
    </w:p>
    <w:p>
      <w:r>
        <w:t>GE Cour de justice, 2019-12-09, FR</w:t>
      </w:r>
    </w:p>
    <w:p>
      <w:r>
        <w:rPr>
          <w:b/>
        </w:rPr>
        <w:t xml:space="preserve">Quelle: </w:t>
      </w:r>
      <w:r>
        <w:t>https://mcp.opencaselaw.ch/entscheid/ge_gerichte_ATAS_1146_2019</w:t>
      </w:r>
    </w:p>
    <w:p>
      <w:r>
        <w:t>FR: GE_GERICHTE ATAS/1146/2019 du 9 décembre 2019</w:t>
      </w:r>
    </w:p>
    <w:p>
      <w:r>
        <w:t>IT: GE_GERICHTE ATAS/1146/2019 del 9 dicembre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w:t>
      </w:r>
    </w:p>
    <w:p>
      <w:r>
        <w:t>A/3812/2018 - 7/16 - contestations prévues à l'art. 43 de la loi cantonale sur les prestations complémentaires cantonales du 25 octobre 1968 (LPCC - J 4 25). Sa compétence pour juger du cas d’espèce est ainsi établie.</w:t>
      </w:r>
    </w:p>
    <w:p>
      <w:r>
        <w:rPr>
          <w:b/>
        </w:rPr>
        <w:t>E. 2</w:t>
      </w:r>
    </w:p>
    <w:p>
      <w:r>
        <w:t>Interjeté en temps utile, le recours est recevable (art. 60 LPGA).</w:t>
      </w:r>
    </w:p>
    <w:p>
      <w:r>
        <w:rPr>
          <w:b/>
        </w:rPr>
        <w:t>E. 3</w:t>
      </w:r>
    </w:p>
    <w:p>
      <w:r>
        <w:t>Le litige porte sur le bien-fondé de la demande de restitution de CHF 33'361.-, pour la période du 1er octobre 2010 au 30 septembre 2017, ainsi que sur le calcul du droit aux prestations de la recourante du 1er octobre 2017 au 31 décembre 2017.</w:t>
      </w:r>
    </w:p>
    <w:p>
      <w:r>
        <w:rPr>
          <w:b/>
        </w:rPr>
        <w:t>E. 4</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 produit de la fortune mobilière et immobilière (art. 11 al. 1 let. b LPC) et les ressources et parts de fortune dont un ayant droit s’est dessaisi (art. 11 al. 1 let. g LPC ; cf. ci-après : consid. 7).</w:t>
      </w:r>
    </w:p>
    <w:p>
      <w:r>
        <w:rPr>
          <w:b/>
        </w:rPr>
        <w:t>E. 5</w:t>
      </w:r>
    </w:p>
    <w:p>
      <w:r>
        <w:t>Le législateur a adopté quelques règles spéciales pour déterminer la valeur de la fortune immobilière. Celles-ci sont destinées à permettre aux rentiers AVS/AI, qui bénéficient de faibles revenus, de continuer à vivre dans leur cadre habituel. Ces dispositions spéciales concernent l’évaluation de la fortune et le montant de la franchise (ou « deniers de nécessité »). Aux termes de l’art. 11 al. 1 let. c LPC, les revenus déterminants comprennent un quinzième de la fortune nette, un dixième pour les bénéficiaires de rentes de vieillesse, dans la mesure où elle dépasse CHF 37'500.- pour les personnes seules. Selon l’art. 17 al. 1 de l’ordonnance sur les prestations complémentaires à l'assurance-vieillesse, survivants et invalidité du 15 janvier 1971 (OPC-AVS/AI – RS 831.301), la fortune prise en compte doit être évaluée selon les règles de la législation sur l'impôt cantonal direct du canton du domicile. En revanche, lorsque des immeubles ne servent pas d'habitation au requérant ou à une personne comprise dans le calcul de la prestation complémentaire, ils seront pris en compte à la valeur vénale (art. 17 al. 4 OPC-AVS/AI). Dans ses commentaires concernant la modification de l'OPC-AVS/AI entrée en vigueur le 1er janvier 1992, l’OFAS a relevé à propos de l'art. 17 al. 4 OPC-AVS/AI que la valeur vénale, soit la valeur qu'atteindrait un immeuble au cours de transactions normales, est en règle générale nettement plus élevée que la valeur fiscale; il ne se</w:t>
      </w:r>
    </w:p>
    <w:p>
      <w:r>
        <w:t>A/3812/2018 - 8/16 -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(arrêt du Tribunal fédéral P. 13/01 du 25 février 2002 consid 5c/aa; RCC 1991 p. 424). Pour les immeubles sis à l’étranger, on peut se fonder sur une estimation établie à l’étranger s’il n’est pas raisonnablement possible de procéder à une autre estimation (arrêt du Tribunal fédéral 9C_540/2009 du 17 septembre 2009 ; ch. 3444.03 des directives de l’office fédéral des assurances sociales concernant les prestations complémentaires à l’AVS et l’AI, état au 1er janvier 2017 [DPC]).</w:t>
      </w:r>
    </w:p>
    <w:p>
      <w:r>
        <w:rPr>
          <w:b/>
        </w:rPr>
        <w:t>E. 6</w:t>
      </w:r>
    </w:p>
    <w:p>
      <w:r>
        <w:t>S’agissant des dépenses, elles comprennent notamment les frais d'entretien des bâtiments et les intérêts hypothécaires, jusqu'à concurrence du rendement brut de l'immeuble (art. 10 al. 3 let. b LPC). Pour les frais d’entretien des immeubles, seule la déduction fiscale forfaitaire applicable pour l’impôt cantonal direct du canton de domicile est prise en compte (art. 16 al. 1 OPC-AVS/AI). Il n’est donc pas possible de choisir entre la déduction forfaitaire et les frais effectifs comme en droit fiscal (arrêt du Tribunal fédéral 9C_822/2009 du 7 mai 2010 consid. 3.4 ; Michel VALTERIO, Commentaire de la loi fédérale sur les prestations complémentaires à l’AVS et à l’AI, p. 108-109 n. 54). Pour le canton de Genève, l’art. 20 al. 2 du règlement d'application de la loi sur l'imposition des personnes physiques (RIPP – D 3 08.01) dispose que cette déduction forfaitaire, calculée sur la valeur locative selon l’article 24 al. 2 de la loi sur l'imposition des personnes physiques (LIPP – D 3 08), s’élève à 10 % si l’âge du bâtiment au début de la période fiscale est inférieur ou égal à 10 ans, et à 20 %, si l’âge du bâtiment au début de la période fiscale est supérieur à 10 ans. Cette déduction s’applique même si la personne n’habite pas le bien immobilier dont elle est propriétaire (ATAS/1122/2013 du 19 novembre 2013 consid. 16a et les références citées). Il n’est dès lors pas possible de se fonder sur les frais effectifs d’entretien des immeubles. Par ailleurs, d’autres frais éventuels – et notamment les amortissements de la dette hypothécaire – ne peuvent être pris en compte comme dépenses reconnues (ch. 3260.02 et 3260.03 des DPC). La déduction forfaitaire des frais d’entretien s’applique même si l’immeuble n’est pas situé dans le canton (ATAS/1122/2013 du 19 novembre 2013 consid. 16b).</w:t>
      </w:r>
    </w:p>
    <w:p>
      <w:r>
        <w:rPr>
          <w:b/>
        </w:rPr>
        <w:t>E. 7</w:t>
      </w:r>
    </w:p>
    <w:p>
      <w:r>
        <w:t>Aux termes de l'art. 11 al. 1 let. g LPC, les revenus déterminants pour calculer le montant de la prestation complémentaire annuelle comprennent notamment les ressources et parts de fortune dont un ayant droit s'est dessaisi. Par dessaisissement, il faut entendre, en particulier, la renonciation à des éléments de revenu ou de fortune sans obligation juridique ni contre-prestation équivalente (ATF 134 I 65</w:t>
      </w:r>
    </w:p>
    <w:p>
      <w:r>
        <w:t>A/3812/2018 - 9/16 - consid. 3.2 p. 70; 131 V 329 consid. 4.2. p. 332). La renonciation à des éléments de fortune ne constitue pas un dessaisissement lorsqu'il est établi qu'il existe une corrélation directe entre cette renonciation et une contre-prestation considérée comme équivalente (arrêt du Tribunal fédéral 9C_36/2014 du 7 avril 2014 consid. 3.1). S’agissant plus spécifiquement du produit de la fortune immobilière, il y a dessaisissement au sens de l’art. 11 al. 1 let. g LPC lorsque les possibilités d’obtenir un revenu d’un immeuble ne sont pas exploitées ou ne le sont qu’insuffisamment. On doit admettre qu’il y a renonciation au revenu d’un immeuble lorsqu’il serait exigible de l’ayant droit – propriétaire, usufruitier ou locataire – et objectivement possible de mettre le bien immobilier à disposition d’un tiers moyennant finance. Une telle mise à disposition est objectivement possible lorsque la nature du droit d’utilisation le permet, lorsque le bien immobilier se prête à une exploitation à titre onéreux (Ralph JÖHL, Patricia USINGER-EGGER, Ergänzungsleistungen zur AHV/IV, in SBVR, 3ème éd. 2016 p. 1838 s. n. 157 ; pour un cas d’application : cf. notamment l’arrêt du Tribunal fédéral des assurances P 33/05 du 8 novembre 2005 consid. 3 ; cf. ég. l’arrêt du Tribunal fédéral des assurances P 37/03 du 15 octobre 2003). Le revenu déterminant tiré d’un immeuble est celui qui pourrait effectivement être réalisé en cas de location, c'est à dire le loyer conforme au marché (cf. SVR 1997, EL n° 38 consid. 6). Il y a lieu de retenir un loyer conforme à l’usage local ou un revenu moyen reflétant le rendement pendant la durée de vie des bâtiments situés sur le terrain lorsque le bénéficiaire de prestations complémentaires n’habite pas le bien immobilier et que celui-ci n’est pas loué. La chambre de céans a confirmé, à plusieurs reprises, que lorsqu'un immeuble n'est pas situé dans le canton de Genève, le recours à un taux forfaitaire de 4,5 % de la valeur vénale retenu à titre de valeur locative (au sens large) ou de rendement de l'immeuble n'est pas excessif, et ce, dans la mesure où les conditions locales ne peuvent pas être déterminées aisément, contrairement aux immeubles situés dans le canton (cf. ATAS/752/2017; ATAS/131/2017; ATAS/237/2012, ATAS/43/2010, ATAS/732/2009; ATAS/399/2007 ; ATAS 1040/2005, confirmé sur recours par l’arrêt du Tribunal fédéral P 57/05 du 29 août 2006). Enfin, la chambre de céans a également considéré qu’un taux de 5% était admissible (ATAS/1127/2017 du 11 décembre 2017).</w:t>
      </w:r>
    </w:p>
    <w:p>
      <w:r>
        <w:rPr>
          <w:b/>
        </w:rPr>
        <w:t>E. 8</w:t>
      </w:r>
    </w:p>
    <w:p>
      <w:r>
        <w:t>S’agissant du taux de conversion applicable pour le calcul de la fortune immobilière et de la valeur locative y relative, il y a lieu d’appliquer les DPC. Le chiffre 2087.1 des DPC prévoyait dans sa version 2010, que pour les rentes et pensions versées en devises d’Etats parties à la Convention de libre passage CH-UE et à l’Accord de l’AELE, les taux de conversion applicables étaient ceux fixés par la Commission administrative des communautés européennes pour la sécurité sociale des travailleurs migrants et publiés au Journal officiel de l’Union européenne. Le cours de conversion applicable était le cours déterminant du début de l’année correspondante.</w:t>
      </w:r>
    </w:p>
    <w:p>
      <w:r>
        <w:t>A/3812/2018 - 10/16 - Dès le 1er janvier 2013, le cours de conversion, selon le chiffre 3452.01 DPC, correspond au cours du jour fixé par la Banque centrale européenne, soit pour la période du 1er janvier 2013 au 26 novembre 2017, le dernier cours du jour disponible du mois qui précède immédiatement le début du droit à la prestation et dès le 27 novembre 2017 le premier cours de ce jour. Bien que ces directives concernent les rentes servies, elles sont applicables mutatis mutandis aux autres éléments composant les revenus déterminants tels que la fortune immobilière.</w:t>
      </w:r>
    </w:p>
    <w:p>
      <w:r>
        <w:rPr>
          <w:b/>
        </w:rPr>
        <w:t>E. 9</w:t>
      </w:r>
    </w:p>
    <w:p>
      <w:r>
        <w:t>Selon l’art. 4 LPCC, ont droit aux prestations complémentaires cantonales les personnes dont le revenu annuel déterminant n’atteint pas le revenu minimum cantonal d’aide sociale applicable. Le revenu déterminant est calculé conformément aux règles fixées dans la LPC, moyennant certaines adaptations, en particulier la part de fortune nette prise en compte est de un cinquième pour les bénéficiaires de rente de vieillesse (art. 5 let. c LPCC).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w:t>
      </w:r>
    </w:p>
    <w:p>
      <w:r>
        <w:rPr>
          <w:b/>
        </w:rPr>
        <w:t>E. 10</w:t>
      </w:r>
    </w:p>
    <w:p>
      <w:r>
        <w:t>a. Les prestations indûment touchées doivent être restituées. Dans son domaine d’application, la LPGA ancre ce principe à son art. 25. La teneur de cette disposition est répétée pour les PCF à l’art. 5C de la loi (genevoise) sur les prestations fédérales complémentaires à l’assurance-vieillesse et survivants et à l’assurance-invalidité du 14 octobre 1965 (LPFC - J 4 20) et reprise pour les PCC à l’art. 24 al. 1 LPCC et – par le biais d’un renvoi par analogie audit art. 25 LPGA – pour les SubAM par l’art. 33 al. 1 LaLAMal. b. L’obligation de principe de restituer des prestations indûment perçues suppose que soient remplies les conditions d’une révision ou d’une reconsidération des décisions sur la base desquelles les prestations versées l’ont été en vertu de décisions bénéficiant de la force de la chose décidée. Selon l’art. 53 LPGA, les décisions et les décisions sur opposition formellement passées en force sont soumises à révision si l’assuré ou l’assureur découvre subséquemment des faits nouveaux importants ou trouve des nouveaux moyens de</w:t>
      </w:r>
    </w:p>
    <w:p>
      <w:r>
        <w:t>A/3812/2018 - 11/16 - preuve qui ne pouvaient être produits auparavant (al. 1) ; l’assureur peut revenir sur les décisions ou les décisions sur opposition formellement passées en force lorsqu’elles sont manifestement erronées et que leur rectification revêt une importance notable (al. 2 ; Sylvie PÉTREMAND, in CR-LPGA, n. 27 ss ad art. 25). c. Selon l'art. 25 al. 2 LPGA, le droit de demander la restitution s'éteint un an après le moment où l'institution d’assurance a eu connaissance du fait fondant la prétention en restitution, mais au plus tard cinq ans après le versement de la prestation. Si la créance naît d'un acte punissable pour lequel le droit pénal prévoit un délai de prescription plus long, celui-ci est déterminant. Ces délais sont des délais (relatif et absolu) de péremption, qui doivent être examinés d'office (ATF 133 V 579 consid. 4 ;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d.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elle dispose d’indices laissant supposer l’existence d’une créance en restitution, mais que les éléments disponibles ne suffisent pas à en établir le bien-fondé, elle doit procéder dans un délai raisonnable aux investigations nécessaires (Sylvie PÉTREMAND, op. cit., n. 87 ss ad art. 25). e. Il revient à l’administration, de même qu’au juge en cas de recours, d’examiner à titre préjudiciel si les circonstances correspondant à une infraction pénale sont réunies et, partant, si un délai de péremption plus long que le délai de cinq ans est applicable dans le cas particulier. Pour que le délai de péremption plus long prévu par le droit pénal s’applique, il n’est pas nécessaire que l’auteur de l’infraction ait été condamné (ATF 140 IV 206 consid. 6.2 ; arrêt du Tribunal fédéral 8C_592/2007 du 20 août 2008 consid. 5.3 et les références). Les exigences constitutionnelles en matière d’appréciation des preuves en procédure pénale s’appliquent ; une vraisemblance même prépondérante ne suffit pas (ATF 138 V 74 consid. 7 ; arrêt du Tribunal fédéral 8C_592/2007 du 10 août 2008 consid. 5.3). f. En matière de prestations complémentaires, au demeurant tant de PCF que de PCC (en vertu, pour ces dernières, du renvoi figurant à l’art. 1A LPCC), l’art. 31 al. 1 LPC prévoit qu’à moins qu’il ne s’agisse d’un crime ou d’un délit frappé d’une peine plus élevée par le Code pénal suisse du 21 décembre 1937 (CP - RS 311.0),</w:t>
      </w:r>
    </w:p>
    <w:p>
      <w:r>
        <w:t>A/3812/2018 - 12/16 - est puni d’une peine pécuniaire n’excédant pas 180 jours-amendes notamment, selon la let. a, celui qui, par des indications fausses ou incomplètes, ou de toute autre manière, obtient d’un canton ou d’une institution d’utilité publique, pour lui-même ou pour autrui, l’octroi indu d’une prestation au sens de la LPC, et, selon la let. d, celui qui manque à son obligation de communiquer au sens de l’art. 31 al. 1 LPGA. Dans le domaine des SubAM, l’art. 31 LPC a pour pendant l’art. 92 let. b LAMal, selon lequel est puni d’une peine pécuniaire de 180 jours amende au plus, à moins qu’il ne s’agisse d’un crime ou d’un délit passible d’une peine plus lourde prévue par le code pénal, quiconque obtient pour lui-même ou pour autrui, sur la base de la LAMal, une prestation qui ne lui revient pas, par des indications fausses ou incomplètes ou de toute autre manière (ATAS/688/2018 du 16 août 2018 consid. 6). L'art. 31 LPC et l’art. 92 LAMal sont subsidiaires aux crimes et délits de droit commun (arrêt du Tribunal fédéral 6S.288/2000 du 28 septembre 2000 consid. 2). Entrent à cet égard en considération d’une part l’infraction d’escroquerie, prévue par l’art. 146 CP – selon lequel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 et d’autre part, depuis le 1er octobre 2016 (date d’entrée en vigueur de cette disposition adoptée le 20 mars 2015 dans le cadre de la mise en œuvre de l’art. 121 al. 3 à 6 Cst. relatif au renvoi des étrangers criminels), l’infraction d’obtention illicite de prestations d’une assurance sociale ou de l’aide sociale, prévue par l’art. 148a CP – selon lequel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Selon l’art. 97 al. 1 let. b à d CP (abstraction faite de la let. a, visant des infractions passibles d’une peine privative de liberté à vie), l’action pénale se prescrit par quinze ans si la peine maximale encourue est une peine privative de liberté de plus de trois ans (let. a), par dix ans si la peine maximale encourue est une peine privative de liberté de trois ans (let. c), et par sept ans si la peine maximale encourue est une autre peine (let. d). Cette disposition s’applique depuis le 1er janvier 2014, date d’entrée en vigueur de la « prorogation des délais de prescription » adoptée par la modification du CP du 21 juin 2013 (RO 2013 4417 ; FF 2012 8533). Antérieurement, l’action pénale se prescrivait par quinze ans pour les infractions passibles d’une peine privative de liberté de plus de trois ans et par</w:t>
      </w:r>
    </w:p>
    <w:p>
      <w:r>
        <w:t>A/3812/2018 - 13/16 - sept ans pour les infractions passibles d’une autre peine (abstraction faite, là aussi, des infractions passibles d’une peine privative de liberté à vie). g. Les art. 31 LPC et 92 LAMal supposent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L'intention doit porter sur tous les éléments constitutifs de l'infraction (Michel VALTERIO, op. cit., n. 3 ad art. 31). Les infractions visées aux art. 31 LPC et 92 LAMal peuvent aussi être commises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 ATF 136 IV 188 consid. 6.2 p. 192). Dans un arrêt 9C_171/2014 du 17 septembre 2014 (consid. 6.5.), rendu en matière de prestations complémentaires, le Tribunal fédéral a jugé que, compte tenu des informations demandées dans le formulaire de demande de prestations, lesquelles concernaient aussi bien sa situation personnelle que celles de son épouse ou de ses enfants, l'assuré ne pouvait ignorer l'importance que revêtait la communication de toute information d'ordre économique le concernant lui ou un membre de sa famille. Dans ces conditions, force était d'admettre qu'il était conscient qu'il retenait des informations qu'il avait l'obligation de transmettre à l’administration, commettant ainsi un acte par dol éventuel. Le Tribunal fédéral a ainsi constaté que l'assuré réalisait les conditions objectives et subjectives de l'infraction réprimée à l'art. 31 al. 1 let. d LPC et que le délai de péremption de plus longue durée prévu par le droit pénal, soit en l'occurrence sept ans (art. 97 CP), était par conséquent applicable.</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12</w:t>
      </w:r>
    </w:p>
    <w:p>
      <w:r>
        <w:t>En l’occurrence, l’intimé a été informé par la recourante de l’existence des biens immobiliers en cause le 20 février 2017. En prononçant ses décisions initiales du 11 septembre 2017, il a agi dans le délai relatif d’une année.</w:t>
      </w:r>
    </w:p>
    <w:p>
      <w:r>
        <w:t>A/3812/2018 - 14/16 - S’agissant du délai de péremption de sept ans, retenu par l’intimé, il ne peut qu’être confirmé. En effet, la recourante n’a pas donné à l’intimé toutes les informations sur sa fortune immobilière, alors même qu’elle avait reçu chaque année un document intitulé « communication importante » rappelant à chaque bénéficiaire son obligation de renseigner l’intimé en particulier sur sa situation financière. Le fait que le document « communication importante 2015 » précise dorénavant que doivent être annoncés toutes modifications de la fortune immobilière en Suisse ou à l’étranger ne lui est d’aucun secours ; en effet l’obligation de la bénéficiaire d’annoncer la totalité de sa fortune ressort de façon claire des documents qu’elle a reçu, même avant l’année 2015, et, en particulier du formulaire de demande de prestations que la recourante a rempli le 4 septembre 2004, qui contient une rubrique à remplir « propriété immobilière », laquelle ne permet pas d’en inférer que les biens immobiliers sis à l’étranger ne devraient pas être annoncés, ainsi que du document qu’elle a signé le 17 juin 2005 dans lequel elle a en particulier indiqué ne posséder aucun bien immobilier à l’étranger. En renonçant à déclarer ceux-ci, la recourante s’est rendue coupable de violation des art. 31 LPC et 92 LAMal. L’intimé était ainsi en droit de recalculer le droit aux prestations de la recourante depuis le 1er octobre 2010.</w:t>
      </w:r>
    </w:p>
    <w:p>
      <w:r>
        <w:rPr>
          <w:b/>
        </w:rPr>
        <w:t>E. 13</w:t>
      </w:r>
    </w:p>
    <w:p>
      <w:r>
        <w:t>a. La recourante prétend à la prise en compte de la valeur fiscale de ses biens immobiliers sis en Italie, au lieu de la valeur vénale. A cet égard, et comme il a été jugé dans la cause A/3810/2018, conformément à l’art. 17 al. 4 OPC-AVS/AI, c’est à juste titre que l’intimé a pris en compte la valeur vénale dudit bien immobilier, en se fondant sur l’expertise du géomètre B______, lequel a fait état pour le bien sis à TRICASE d’une valeur vénale de EUR 49'000 et d’une valeur locative de EUR 168 par mois, ainsi que pour le bien sis à SALVE d’une valeur vénale de EUR 79'300 et d’une valeur locative de EUR 296.90 par mois. La valeur fiscale n’est en l’occurrence pas pertinente. Par ailleurs, aucun élément ne permet de s’écarter de cette évaluation. En particulier, les conditions locales dont se prévaut la recourante sont justement prises en compte lorsque l’évaluation est faite par un professionnel du lieu où est situé le bien immobilier en question, ce qui est le cas du géomètre B______, dont le C______ est situé à LUCUGNANO, entre SPECCIA et TRICASE. Comme relevé par l’intimé, le géomètre s’est en outre rendu sur place pour visiter les biens immobiliers et effectuer les mesures nécessaires. S’agissant de la superficie du bien sis à TRICASE, aucun élément probant ne permet de faire prévaloir la superficie mentionnée dans l’attestation de certification énergétique du 30 mai 2013, soit 60m2 (« superficie utile ») par rapport à celle, calculée par une personne qualifiée pour ce faire, attestant d’une surface de 70m2 (« superficie utile »). Ceci d’autant plus que l’extrait cadastral du bien immobilier mentionne une superficie totale de 71m2, laquelle est plus proche de celle calculée par le géomètre que de celle issue de l’attestation de certification énergétique. Au surplus, le bien a été acquis par la</w:t>
      </w:r>
    </w:p>
    <w:p>
      <w:r>
        <w:t>A/3812/2018 - 15/16 - recourante le 9 août 2013 et non pas le 1er août 2016, l’intimé ayant reconnu que cette dernière date était erronée. Enfin, la recourante ne fait état d’aucun argument qui permettrait de penser que l’estimation faite par M. B______ en mars 2017 n’est pas pertinente pour les années 2010 à 2016. L’intimé n’a en revanche pris en compte aucune déduction forfaitaire des frais d’entretien de l’immeuble, alors que celle-ci s’applique même si l’immeuble n’est pas situé dans le canton (ATAS/1122/2013 du 19 novembre 2013). Pour le surplus, il convient de constater que le terrain sis à SPECCHIA, évalué fiscalement à CHF 7'721.-, n’a pas été pris en compte par l’intimé dans son calcul. b. L’intimé a converti la valeur du bien immobilier sis à TRICASE, son produit ainsi que l’usufruit du bien immobilier sis à SALVE par l’application du cours de conversion de la Banque centrale européenne, ce qui est conforme aux dispositions précitées. La recourante se prévaut d’un taux de conversion issu du site internet de l’AFC, sans motivation pertinente. Le taux de change sera ainsi confirmé. c. Comme relevé par l’intimé, il n’y a pas lieu de prendre en compte la dette chirographaire de CHF 25'000.-, établie par une simple reconnaissance de dette le 24 septembre 2011, sans autre preuve de son existence et nonobstant sa déclaration à l’AFC.</w:t>
      </w:r>
    </w:p>
    <w:p>
      <w:r>
        <w:rPr>
          <w:b/>
        </w:rPr>
        <w:t>E. 14</w:t>
      </w:r>
    </w:p>
    <w:p>
      <w:r>
        <w:t>Enfin, la recourante fait référence à certaines pièces du dossier de l’intimé qui n’auraient pas été signées, par elle-même, sans trace d’une procuration. Elle n’explique cependant pas en quoi ce fait aurait une influence sur l’objet du litige, limité à l’examen du bien-fondé de la décision recalculant son droit aux prestations du 1er octobre 2010 au 31 décembre 2017.</w:t>
      </w:r>
    </w:p>
    <w:p>
      <w:r>
        <w:rPr>
          <w:b/>
        </w:rPr>
        <w:t>E. 15</w:t>
      </w:r>
    </w:p>
    <w:p>
      <w:r>
        <w:t>Au vu de ce qui précède, le recours sera partiellement admis, au détriment de la recourante, était relevé que, par ordonnance du 11 juin 2019, la recourante, avertie d’un risque de reformatio in pejus de la décision litigieuse, a décidé de maintenir son recours. La décision litigieuse sera annulée et la cause renvoyée à l’intimé pour nouveau calcul des prestations du 1er octobre 2010 au 31 décembre 2017, en prenant en compte le bien immobilier sis à TRICASE dès le 9 août 2013 au lieu du 1er août 2016, ainsi que la déduction forfaitaire des frais d’entretien de l’immeuble.</w:t>
      </w:r>
    </w:p>
    <w:p>
      <w:r>
        <w:rPr>
          <w:b/>
        </w:rPr>
        <w:t>E. 16</w:t>
      </w:r>
    </w:p>
    <w:p>
      <w:r>
        <w:t>Pour le surplus, la procédure est gratuite.</w:t>
      </w:r>
    </w:p>
    <w:p>
      <w:r>
        <w:t>A/3812/2018 - 16/16 -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