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ATAS/1146/2011 vom 24. November 2011</w:t>
      </w:r>
    </w:p>
    <w:p>
      <w:r>
        <w:t>GE Cour de justice, 2011-11-24, FR</w:t>
      </w:r>
    </w:p>
    <w:p>
      <w:r>
        <w:rPr>
          <w:b/>
        </w:rPr>
        <w:t xml:space="preserve">Quelle: </w:t>
      </w:r>
      <w:r>
        <w:t>https://mcp.opencaselaw.ch/entscheid/ge_gerichte_ATAS_1146_2011</w:t>
      </w:r>
    </w:p>
    <w:p>
      <w:r>
        <w:t>FR: GE_GERICHTE ATAS/1146/2011 du 24 novembre 2011</w:t>
      </w:r>
    </w:p>
    <w:p>
      <w:r>
        <w:t>IT: GE_GERICHTE ATAS/1146/2011 del 24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w:t>
      </w:r>
    </w:p>
    <w:p>
      <w:r>
        <w:t>A/2015/2011 - 5/11 -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w:t>
      </w:r>
    </w:p>
    <w:p>
      <w:r>
        <w:t>En l’espèce, la décision litigieuse du 15 octobre 2008 est postérieure à l’entrée en vigueur de la LPGA et des modifications de la LAI relatives à la 4ème et à la 5ème révisions, entrées en vigueur respectivement en date des 1er janvier 2004 et 1er janvier 2008. Par conséquent, d’un point de vue matériel, le droit aux prestations doit être examiné au regard des nouvelles normes de la LPGA et des modifications de la LAI consécutives à la 5ème révision de cette loi, dans la mesure de leur pertinence (ATF 130 V 445 et les références, voir également ATF 130 V 329).</w:t>
      </w:r>
    </w:p>
    <w:p>
      <w:r>
        <w:t>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Le litige porte sur le point de savoir si les atteintes à la santé dont souffre la recourante sont invalidantes et lui ouvrent, cas échéant, droit à des prestations de l'assurance-invalidité.</w:t>
      </w:r>
    </w:p>
    <w:p>
      <w:r>
        <w:rPr>
          <w:b/>
        </w:rPr>
        <w:t>E. 4</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w:t>
      </w:r>
    </w:p>
    <w:p>
      <w:r>
        <w:rPr>
          <w:b/>
        </w:rPr>
        <w:t>E. 5</w:t>
      </w:r>
    </w:p>
    <w:p>
      <w:r>
        <w:t>L'art. 16 LPGA prescrit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(ATFA I 626/03 du 30 avril 2004).</w:t>
      </w:r>
    </w:p>
    <w:p>
      <w:r>
        <w:rPr>
          <w:b/>
        </w:rPr>
        <w:t>E. 6</w:t>
      </w:r>
    </w:p>
    <w:p>
      <w:r>
        <w:t>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w:t>
      </w:r>
    </w:p>
    <w:p>
      <w:r>
        <w:t>A/2015/2011 - 6/11 -</w:t>
      </w:r>
    </w:p>
    <w:p>
      <w:r>
        <w:rPr>
          <w:b/>
        </w:rPr>
        <w:t>E. 7</w:t>
      </w:r>
    </w:p>
    <w:p>
      <w:r>
        <w:t>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8</w:t>
      </w:r>
    </w:p>
    <w:p>
      <w:r>
        <w:t>Parmi les atteintes à la santé psychique qui peuvent, comme les atteintes physiques, provoquer une invalidité, il faut mentionner - outre les affections mentales proprement dites - les anomalies psychiques qui équivalent à des maladies.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w:t>
      </w:r>
    </w:p>
    <w:p>
      <w:r>
        <w:t>A/2015/2011 - 7/11 -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9</w:t>
      </w:r>
    </w:p>
    <w:p>
      <w:r>
        <w:t>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 V 158 consid. 1).</w:t>
      </w:r>
    </w:p>
    <w:p>
      <w:r>
        <w:t>A/2015/2011 - 8/11 -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Cependant, le Tribunal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d) Conformément au principe inquisitoire qui régit la procédure dans le domaine des assurances sociales, l'administration est tenue d'ordonner une instruction complémentaire lorsque les allégations des parties et les éléments ressortant du</w:t>
      </w:r>
    </w:p>
    <w:p>
      <w:r>
        <w:t>A/2015/2011 - 9/11 -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10</w:t>
      </w:r>
    </w:p>
    <w:p>
      <w:r>
        <w:t>En l’espèce, l'intimé a suivi l’avis des médecins du SMR, lesquels ont conclu à une capacité de travail entière. Force est de constater que le rapport des médecins du SMR doit se voir reconnaitre pleine valeur probante puisque le médecin traitant a admis en partager les conclusions pour la majeure partie. Certes, il a ajouté qu’il concluait pour sa part à un état dépressivo-anxieux. Il a cependant qualifié ce dernier de « léger ». Dans la mesure où le médecin traitant n’est pas spécialisé en psychiatrie - contrairement au médecin du SMR -, où l’assurée ne prend aucun traitement antidépresseur et où un suivi spécialisé n’a pas été jugé nécessaire, les conclusions du Dr C__________ selon lesquelles il n’y a aucune limitation de travail d’ordre psychique apparaissent convaincantes. Sur le plan physique, il n’est pas contesté que les seules limitations fonctionnelles consistent dans le fait de devoir éviter les activités à forte charge. Enfin, l’enquête ménagère, même en tenant compte de ces limitations de manière très généreuse dans les différents postes considérés, n’arrive qu’à un degré d’empêchement de 15,5 % dans la sphère ménagère (de 40%). A cet égard, on relèvera que le conseil de la recourante semble avoir confondu taux d’activité et degré d’empêchement. Jamais en effet l’enquête n’a conclu à une incapacité de 60% dans la sphère professionnelle ; elle a simplement déterminé qu’en bonne santé, l’assurée aurait travaillé au taux de 60%, sans se prononcer sur sa capacité de travail, cette dernière relevant de la compétence des médecins du SMR.</w:t>
      </w:r>
    </w:p>
    <w:p>
      <w:r>
        <w:t>Eu égard aux considérations qui précèdent, il y a lieu de reconnaitre pleine valeur probante tant au rapport du SMR qu’à celui de l’enquête ménagère, étant rappelé</w:t>
      </w:r>
    </w:p>
    <w:p>
      <w:r>
        <w:t>A/2015/2011 - 10/11 - que les difficultés rencontrées par la recourante et énumérées par son médecin relèvent plus du domaine psycho-social que de celui de l’assurance-invalidité.</w:t>
      </w:r>
    </w:p>
    <w:p>
      <w:r>
        <w:t>Le recours est rejeté.</w:t>
      </w:r>
    </w:p>
    <w:p>
      <w:r>
        <w:t>A/2015/2011 - 11/11 -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