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ATAS/1145/2018 vom 11. Dezember 2018</w:t>
      </w:r>
    </w:p>
    <w:p>
      <w:r>
        <w:t>GE Cour de justice, 2018-12-11, FR</w:t>
      </w:r>
    </w:p>
    <w:p>
      <w:r>
        <w:rPr>
          <w:b/>
        </w:rPr>
        <w:t xml:space="preserve">Quelle: </w:t>
      </w:r>
      <w:r>
        <w:t>https://mcp.opencaselaw.ch/entscheid/ge_gerichte_ATAS_1145_2018</w:t>
      </w:r>
    </w:p>
    <w:p>
      <w:r>
        <w:t>FR: GE_GERICHTE ATAS/1145/2018 du 11 décembre 2018</w:t>
      </w:r>
    </w:p>
    <w:p>
      <w:r>
        <w:t>IT: GE_GERICHTE ATAS/1145/2018 del 11 dicembre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A/4213/2017 - 12/17 -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A/4213/2017 - 13/17 -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l’intimé, se fondant sur les conclusions du SMR, a retenu que l’assuré avait été totalement incapable d’exercer la moindre profession du 17 décembre 2013 jusqu’au 30 octobre 2015, mais qu’il avait recouvré, le 1er novembre 2015, une pleine capacité de travail dans toute activité adaptée à ses limitations fonctionnelles. Au 1er juillet 2015, six mois après le dépôt de sa demande, son degré d’invalidité s’élevait à 100 % et au 31 janvier 2016 – trois mois après l’amélioration de sa capacité de travail et de gain – le taux n’atteignait plus que 19 %, ce qui entraînait la suppression de la rente. De son côté, le recourant requiert que la rente d’invalidité lui soit versée au-delà du 31 janvier 2016. Il critique l’examen rhumato-psychiatrique du SMR, dont il soutient qu’il repose sur des constatations erronées : il reproche notamment aux examinateurs d’avoir omis de prendre contact avec son chirurgien et d’avoir prétendu, après l’avoir examiné pendant 30 minutes seulement, qu’il pouvait maintenir la position assise pendant une heure. En outre, il conteste le status clinique dressé par le psychiatre du SMR, en particulier l’absence alléguée de troubles de la mémoire, de l’appétit, du sommeil et d’idées de dévalorisation. À l’appui de son point de vue, il produit divers rapports émanant de ses médecins et de la consultation de la douleur des HUG.</w:t>
      </w:r>
    </w:p>
    <w:p>
      <w:r>
        <w:rPr>
          <w:b/>
        </w:rPr>
        <w:t>E. 10</w:t>
      </w:r>
    </w:p>
    <w:p>
      <w:r>
        <w:t>Tout d’abord, la chambre de céans observe que les griefs que soulève le recourant en lien avec la durée des examens cliniques et le fait que les médecins du SMR auraient omis de prendre contact avec son chirurgien sont infondés. D’une part, ses allégations concernant la durée des examens ne sont pas étayées et quoi qu’il en soit, la durée d'un examen n'est pas un critère permettant en soi de juger de la valeur probante d'un rapport médical (arrêts du Tribunal fédéral 9C_382/2008 du 22 juillet 2008 consid. 2 ; 9C_133/2012 du 29 août 2012 consid. 3.2.1). D’autre part, il convient de relever que sous le chapitre intitulé « documents du dossier rhumatologique » de leur rapport (p. 1-2), les examinateurs du SMR ont résumé les avis rendus par le chirurgien de l’assuré et ses conclusions sur la capacité de travail, ce qui suffisait à dresser le contexte médical de façon satisfaisante sous l’angle rhumatologique. En revanche, il en va différemment du volet psychiatrique du rapport du SMR.</w:t>
      </w:r>
    </w:p>
    <w:p>
      <w:r>
        <w:rPr>
          <w:b/>
        </w:rPr>
        <w:t>E. 11</w:t>
      </w:r>
    </w:p>
    <w:p>
      <w:r>
        <w:t>En effet, force est de constater que le rapport d’examen bi-disciplinaire du SMR n’a pas été établi en pleine connaissance de la situation médicale et qu’il revêt, à certains égards, un caractère incomplet voire contradictoire : en premier lieu, on déplore que la psychiatre du SMR n’ait pas cherché à prendre contact avec le psychiatre traitant, dans la mesure où elle a elle-même relevé que l’intéressé était</w:t>
      </w:r>
    </w:p>
    <w:p>
      <w:r>
        <w:t>A/4213/2017 - 14/17 - suivi au plan psychiatrique par le Dr L______ depuis fin 2015-début 2016, qu’il avait séjourné au service de médecine interne et de réhabilitation de Beau-Séjour (du 22 septembre au 29 octobre 2015), qu’un traitement par antidépresseurs et somnifères lui avait été prescrit, et qu’enfin, aucun rapport psychiatrique ne figurait au dossier hormis la lettre de sortie établie par les médecins de Beau-Séjour. S’il est vrai que la jurisprudence laisse aux examinateurs une certaine autonomie dans la manière de conduire leurs examens, il n’en demeure pas moins que le psychiatre traitant aurait pu faire part de ses conclusions sur la capacité de travail, de ses observations et de l'évolution de l'état de santé. En l’absence de tout rapport ou entretien avec le Dr L______, on ne voit pas que la psychiatre du SMR se soit prononcée en pleine connaissance de la situation médicale. En second lieu, on ne comprend pas sur quoi se fonde la psychiatre du SMR pour nier l’existence de troubles du sommeil, alors que l’anamnèse du rapport qu’elle a contribué à rédiger (p. 6) suggère justement le contraire. En effet, il y est stipulé que l’assuré prend des somnifères et que pendant la nuit, ses douleurs de la nuque et de la colonne lombaire le réveillent toutes les quarante minutes. De surcroît, il ressort du rapport des HUG du 9 mars 2016 que l’assuré ne dormirait en moyenne que trois heures par nuit. En troisième lieu, on regrette que les examinateurs du SMR n’aient pas discuté, même brièvement, du diagnostic de trouble somatoforme douloureux, alors qu’ils ont précisément souligné à maintes reprises qu’« une composante somatoforme aux douleurs » était suspectée par les médecins de l’assuré et qu’une partie des douleurs ne reposait sur aucun substrat organique (cf. pp. 1, 3, 4, 7 et 14 de leur rapport). Au vu de ce qui précède, force est d’admettre que le rapport d’examen bi-disciplinaire n’a pas été établi en pleine connaissance de la situation médicale et que sa motivation est incomplète voire contradictoire sur certains points. Dans ces conditions, on ne saurait reconnaître à ce document une pleine valeur probante. Cela justifie un renvoi de la cause à l’intimé pour instruction complémentaire.</w:t>
      </w:r>
    </w:p>
    <w:p>
      <w:r>
        <w:rPr>
          <w:b/>
        </w:rPr>
        <w:t>E. 12</w:t>
      </w:r>
    </w:p>
    <w:p>
      <w:r>
        <w:t>Un tel renvoi se justifie d’autant plus que l’état de santé de l’assuré pourrait s’être aggravé entre l’examen bi-disciplinaire du SMR et la décision du 19 septembre 2017. En effet, dans son courrier de décembre 2016, le Dr H______ a fait état d’un conflit sous-acromial de l’épaule droite et dans leur rapport de décembre 2017, les médecins de la consultation de la douleur des HUG ont signalé une évolution défavorable des lombosciatalgies gauches depuis la dernière imagerie réalisée en 2015, raison pour laquelle ils ont jugé nécessaire de requérir une nouvelle IRM et un avis neurochirurgical. En outre, les médecins de la consultation de la douleur des HUG ont évoqué, sur la base de différents questionnaires, un épisode dépressif sévère et une diminution globale de tous les aspects de la qualité de la vie. Le SMR a déduit de ces documents que l’état de santé de l’assuré pouvait s’être aggravé, de sorte qu’il était nécessaire de procéder à une « nouvelle étude complète du dossier ». À cela s’ajoute que, toujours selon les médecins de la consultation de la douleur des HUG, l’assuré aurait souffert d’une baisse marquée</w:t>
      </w:r>
    </w:p>
    <w:p>
      <w:r>
        <w:t>A/4213/2017 - 15/17 - de son état général et aurait perdu près de 17 kg en 2017, ce qui témoigne là encore d’une possible aggravation survenue depuis l’examen du SMR. Partant, on ne saurait se fonder, sans investigation supplémentaire, sur les conclusions du SMR pour statuer sur le bien-fondé de la suppression de la rente d’invalidité. S’agissant enfin de l’évaluation qu’avait réalisée en novembre 2014 la Dresse C______ de la Clinique CORELA à la demande de l’assurance perte de gain, elle ne permet pas davantage de déterminer si l’intimé était fondé à supprimer la rente dès le 31 janvier 2016. Vu son ancienneté, il n’est en effet pas possible de tirer de cette évaluation de conclusions sur la capacité de travail de l’assuré dans une activité adaptée pendant la période litigieuse, qui court depuis le mois de novembre 2015. De surcroît, la Dresse C______ a expressément renoncé à évaluer la capacité de travail dans une activité adaptée. Enfin, elle a conditionné son appréciation de la capacité de travail dans l’activité antérieure de marbrier à l’absence de nouveaux éléments médicaux qui seraient mis en évidence à l’occasion d’un entretien que l’assuré devait avoir avec le Dr D______. Or, cet entretien a précisément conduit à une intervention chirurgicale et à la reconnaissance d’une totale incapacité de travail dans la profession de marbrier.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l’occurrence, dans la mesure où des doutes affectent la valeur probante de l’examen bi-disciplinaire du SMR et qu’au surplus, l’état de santé du recourant pourrait s’être aggravé depuis sa mise en œuvre, il se justifie de renvoyer la cause à l’intimé afin qu’il mette en œuvre une expertise médicale indépendante, comprenant à tout le moins des volets rhumatologiques et psychiatriques, conformément à l’art. 44 LPGA.</w:t>
      </w:r>
    </w:p>
    <w:p>
      <w:r>
        <w:rPr>
          <w:b/>
        </w:rPr>
        <w:t>E. 13</w:t>
      </w:r>
    </w:p>
    <w:p>
      <w:r>
        <w:t>Partant, le recours est partiellement admis, la décision du 19 septembre 2017 annulée et la cause renvoyée à l’intimé pour qu’il complète l’instruction dans le sens qui précède, puis rende une nouvelle décision.</w:t>
      </w:r>
    </w:p>
    <w:p>
      <w:r>
        <w:rPr>
          <w:b/>
        </w:rPr>
        <w:t>E. 14</w:t>
      </w:r>
    </w:p>
    <w:p>
      <w:r>
        <w:t>Le recourant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E 5 10.03).</w:t>
      </w:r>
    </w:p>
    <w:p>
      <w:r>
        <w:t>A/4213/2017 - 16/17 -</w:t>
      </w:r>
    </w:p>
    <w:p>
      <w:r>
        <w:rPr>
          <w:b/>
        </w:rPr>
        <w:t>E. 15</w:t>
      </w:r>
    </w:p>
    <w:p>
      <w:r>
        <w:t>La procédure de recours en matière de contestation portant sur l’octroi ou le refus de prestations de l’assurance-invalidité étant soumise à des frais de justice, un émolument de CHF 200.- est mis à charge de l’intimé (art. 69 al. 1 bis LAI). ******</w:t>
      </w:r>
    </w:p>
    <w:p>
      <w:r>
        <w:t>A/4213/2017 - 17/17 -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