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ATAS/1145/2010 vom 10. November 2010</w:t>
      </w:r>
    </w:p>
    <w:p>
      <w:r>
        <w:t>GE Cour de justice, 2010-11-10, FR</w:t>
      </w:r>
    </w:p>
    <w:p>
      <w:r>
        <w:rPr>
          <w:b/>
        </w:rPr>
        <w:t xml:space="preserve">Quelle: </w:t>
      </w:r>
      <w:r>
        <w:t>https://mcp.opencaselaw.ch/entscheid/ge_gerichte_ATAS_1145_2010</w:t>
      </w:r>
    </w:p>
    <w:p>
      <w:r>
        <w:t>FR: GE_GERICHTE ATAS/1145/2010 du 10 novembre 2010</w:t>
      </w:r>
    </w:p>
    <w:p>
      <w:r>
        <w:t>IT: GE_GERICHTE ATAS/1145/2010 del 10 novembre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a)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Aussi le droit à une rente doit-il être examiné au regard de l'ancien droit pour la période jusqu'au jour de sa modification et en fonction de la nouvelle réglementation légale après cette date (ATF 130 V 433 consid. 1 et les références). En ce qui concerne en revanche la procédure, et à défaut de règles transitoires contraires, le nouveau droit s'applique sans réserve dès le jour de son entrée en vigueur (ATF 117 V 93 consid. 6 b). b) En l'espèce, l'objet du litige porte sur le droit à une rente d'invalidité à compter de septembre 2006. La LPGA est entrée en vigueur le 1er janvier 2003 et s’applique donc au cas d’espèce. Quant aux modifications de la LAI du 21 mars 2003 (4ème révision), entrées en vigueur le 1er janvier 2004 (RO 2003 3852), et les modifications de la LAI du 6 octobre 2006 (5ème révision de la LAI), entrées en vigueur le 1er janvier 2008, elles sont également applicables pour l'appréciation du droit aux prestations à partir de leurs entrées en vigueur.</w:t>
      </w:r>
    </w:p>
    <w:p>
      <w:r>
        <w:rPr>
          <w:b/>
        </w:rPr>
        <w:t>E. 3</w:t>
      </w:r>
    </w:p>
    <w:p>
      <w:r>
        <w:t>Interjeté dans les délai et forme prescrits par la loi, le recours est recevable (art. 56 ss LPGA).</w:t>
      </w:r>
    </w:p>
    <w:p>
      <w:r>
        <w:rPr>
          <w:b/>
        </w:rPr>
        <w:t>E. 4</w:t>
      </w:r>
    </w:p>
    <w:p>
      <w:r>
        <w:t>Est litigieuse en l'occurrence la question de savoir si la recourante présente un taux d'invalidité lui ouvrant le droit à une rente d'invalidité.</w:t>
      </w:r>
    </w:p>
    <w:p>
      <w:r>
        <w:rPr>
          <w:b/>
        </w:rPr>
        <w:t>E. 5</w:t>
      </w:r>
    </w:p>
    <w:p>
      <w:r>
        <w:t>a) 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w:t>
      </w:r>
    </w:p>
    <w:p>
      <w:r>
        <w:t>A/920/2010 - 12/22 -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L'art. 7 al. 2 LPGA n'a cependant pas modifié la notion d'incapacité de gain, mais correspond à l'inscription dans la loi de la jurisprudence dégagée jusqu'alors sur la notion d'invalidité (ATF 135 V 215 consid. 7 p. 229 ss.). Enfin,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L'invalidité d'un assuré qui n'exerce pas d'activité lucrative et dont on ne peut raisonnablement exiger qu'il en entreprenne une est évaluée, en dérogation de la méthode ordinaire de comparaison des revenus, en fonction de l'incapacité d'accomplir ses travaux habituels. Par travaux habituels d'une personne travaillant dans le ménage, il faut entendre notamment l'activité usuelle dans le ménage, l'éducation des enfants ainsi que toute activité artistique ou d'utilité publique. C'est la méthode spécifique (jusqu'au 31 décembre 2002: art. 28 al. 3 LAI en corrélation avec l'art. 27 al. 1 et 2 RAI; du 1er janvier au 31 décembre 2003: art. 28 al. 3 LAI en corrélation avec les art. 27 al. 1 et 2 RAI et 8 al. 3 LPGA; depuis le 1er janvier 2004: art. 28 al. 2bis LAI en corrélation avec les art. 27 RAI et 8 al. 3 LPGA; ATFA du 20 avril 2007, I 288/06).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En ce qui concerne l'incapacité d'accomplir les travaux habituels en raison d'une atteinte à la santé, l'enquête économique sur le ménage effectuée au domicile de l'assuré (cf. art. 69 al. 2 RAI) constitue en règle générale une base appropriée et suffisante pour évaluer les empêchements dans ce domaine (sur les exigences relatives à la valeur probante d'un tel rapport d'enquête, voir arrêt I 90/02 du 30 décembre 2002).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Pour satisfaire à l'obligation de réduire le dommage (voir ATF 129 V 463 consid. 4.2, 123 V 233 consid. 3c et les références), une personne qui s'occupe du ménage doit faire ce que l'on peut raisonnablement attendre d'elle afin d'améliorer</w:t>
      </w:r>
    </w:p>
    <w:p>
      <w:r>
        <w:t>A/920/2010 - 13/22 -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 du 14 janvier 2005 [I 308/04 et I 309/04] et S.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ATFA du 17 mars 2005, I 257/04). c) Lors de l'examen du droit à la rente, il faut 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(ATF 117 V 195 consid. 3b; VSI 1996 p. 209 consid. 1c). Selon la pratique, la question du statut doit être tranchée sur la base de l'évolution de la situation jusqu'au prononcé de la décision administrative litigieuse,</w:t>
      </w:r>
    </w:p>
    <w:p>
      <w:r>
        <w:t>A/920/2010 - 14/22 - encore que, pour admettre l'éventualité de la reprise d'une activité lucrative partielle ou complète, il faut que la force probatoire reconnue habituellement en droit des assurances sociales atteigne le degré de vraisemblance prépondérante (ATF 130 V 396 consid. 3.3, 125 V 150 consid. 2c, 117 V 194 consid. 3b et les références). f) Selon l'art. 28 al. 2ter LAI, lorsque l’assuré exerce une activité lucrative à temps partiel, l’invalidité pour cette activité est évaluée selon l’art. 16 LPGA. S’il accomplit ses travaux habituels, l’invalidité est fixée selon l’al. 2bis pour cette activité-là. Dans ce cas, les parts respectives de l’activité lucrative et de l’accomplissement des travaux habituels sont déterminées; le taux d’invalidité est calculé d’après le handicap dont la personne est affectée dans les deux domaines d’activité.</w:t>
      </w:r>
    </w:p>
    <w:p>
      <w:r>
        <w:rPr>
          <w:b/>
        </w:rPr>
        <w:t>E. 6</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w:t>
      </w:r>
    </w:p>
    <w:p>
      <w:r>
        <w:t>A/920/2010 - 15/22 -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Selon le Tribunal fédéral des assurances, il existe par ailleurs des caractéristiques communes entre la fibromyalgie et le trouble somatoforme douloureux. Celles-ci justifient, lorsqu'il s'agissait d'apprécier le caractère invalidant d'une fibromyalgie, d'appliquer par analogie les principes développés par la jurisprudence en matière de troubles somatoformes douloureux (ATF 132 V 65; ATFA du 17 juillet 2006, cause I 297/05).</w:t>
      </w:r>
    </w:p>
    <w:p>
      <w:r>
        <w:rPr>
          <w:b/>
        </w:rPr>
        <w:t>E. 7</w:t>
      </w:r>
    </w:p>
    <w:p>
      <w:r>
        <w:t>a) Selon l'art. 28 al. 2 LAI, l'assuré a droit à une rente s'il est invalide à 40 % au moins. La rente est échelonnée comme suit, selon le taux d'invalidité : 40 % au moins un quart, 50 % au moins une demie, 60 % au moins trois-quarts, 70 % au moins rente entière. b) Aux termes de l'art. 29 al. 1 aLAI, en vigueur jusqu'au 31 décembre 2007 et applicable en l'espèce,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w:t>
      </w:r>
    </w:p>
    <w:p>
      <w:r>
        <w:rPr>
          <w:b/>
        </w:rPr>
        <w:t>E. 8</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w:t>
      </w:r>
    </w:p>
    <w:p>
      <w:r>
        <w:t>A/920/2010 - 16/22 - est incapable de travailler. En outre, les données médicales constituent un élément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A/920/2010 - 17/22 -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133 III 675 consid. 5.2 non plublié, 129 III 18 consid. 2.6, 127 III 519 consid. 2a, 122 II 464 consid. 4a, 122 III 219 consid. 3c et les arrêts cités). Une telle manière de procéder ne viole pas le droit d’être entendu selon l’art. 29 al. 2 Cst. (SVR 2001 IV n. 10 p. 28 consid. 4b), la jurisprudence rendue sous l’empire de l’art. 4 aCst. étant toujours valable (ATF 124 V 94 consid. 4b, 122 V 162 consid. 1d).</w:t>
      </w:r>
    </w:p>
    <w:p>
      <w:r>
        <w:rPr>
          <w:b/>
        </w:rPr>
        <w:t>E. 9</w:t>
      </w:r>
    </w:p>
    <w:p>
      <w:r>
        <w:t>En l'occurrence, il convient d'abord de déterminer le statut de la recourante. Celle-ci travaillait avant la survenance de l'invalidité à 50%. Par ailleurs, elle a déclaré le 20 décembre 2007 qu'elle aurait travaillé à ce pourcentage sans atteinte à la santé. Partant, il y a lieu de constater qu'elle présente un statut mixte, de sorte que sa capacité de travail doit être évaluée dans une activité lucrative à 50% et dans les travaux habituels du ménage au même taux.</w:t>
      </w:r>
    </w:p>
    <w:p>
      <w:r>
        <w:rPr>
          <w:b/>
        </w:rPr>
        <w:t>E. 10</w:t>
      </w:r>
    </w:p>
    <w:p>
      <w:r>
        <w:t>La recourante a fait l'objet de deux expertises par le Dr C_________, ainsi que d'une expertise judiciaire par le Dr J_________. Toutefois, comme relevé dans l'ordonnance d'expertise, les expertises du Dr C_________ n'ont pas convaincu le Tribunal de céans. Une valeur probante n'ayant pu être attribuée à celles-ci, la mise en œuvre d'une expertise judiciaire était dès lors</w:t>
      </w:r>
    </w:p>
    <w:p>
      <w:r>
        <w:t>A/920/2010 - 18/22 - nécessaire. En effet, les expertises du Dr C_________ paraissent superficielles et contradictoires. En premier lieu, il sied de relever que ce médecin n'a pas mentionné dans ses rapports que les "malaises" sont accompagnés d'une perte de connaissance. Il n'a pas non plus indiqué les épisodes dépressifs majeurs dont a souffert la recourante. Il a procédé en outre à de nombreux tests psychologiques, pour ne pas en tenir compte par la suite, sous prétexte que la recourante aurait majoré ses plaintes et présenterait des limitations linguistiques. Néanmoins, il a relevé que la recourante s'exprimait avec aisance en français. De surcroît, un des tests était en portugais. Il est à souligner également que, sur cinq tests, un seul donne un score pour une dépression légère, alors que les autres tests témoignent d'une dépression sévère, ainsi que d'une anxiété élevée à très élevée. Il paraît dès lors arbitraire d'avoir écarté les résultats de ces tests. Par ailleurs, il a retenu à tort que la recourante avait conservé une activité de conciergerie jusqu'en 2006. Il ressort en effet du rapport du Dr D_________ du 12 mars 2008 que cette activité a toujours été effectuée par son mari. Cet expert s'est également trompé en ce qu'il a constaté qu'elle n'observait pas le traitement de Lamictal, dès lors que cela est dû à d'autres raisons, comme il ressort du rapport du CTB du 13 juin 2008. L'expertise du Dr C_________ du 10 janvier 2008 est aussi contradictoire, en ce qu'il est mentionné, à l'examen clinique (p. 15), que la recourante n'est pas particulièrement émotive, alors qu'il est indiqué à la fin de l'examen clinique (p. 16) qu'il s'agit d'une femme assez émotive. A cela s'ajoute que le Dr C_________ n'a pas pris contact avec les médecins traitants, ce qui était en l'espèce indispensable, en raison de son appréciation très divergente de celle de ces médecins et du soupçon d'un trouble bipolaire. S'agissant du complément d'expertise du 31 juillet 2009, cet expert fait état d'une hospitalisation à Belle-Idée, alors que la prise en charge de la recourante au CTB était ambulatoire. Quant à l'expertise judiciaire, elle paraît particulièrement complète et fouillée (58 pages). Elle a notamment été rendue en connaissance du dossier médical complet de la recourante et repose sur un entretien psychologique et un examen psychiatrique d'au moins quatre heures. Elle prend en considération les plaintes de la recourante et les conclusions de l'expert sont très étayées. Par ailleurs, celles-ci sont en larges parties confirmées par les médecins traitants. La Dresse K_________ fait toutefois grief au Dr J_________ que ses diagnostics reposent seulement sur des tests subjectifs et non pas sur un status clinique clair et objectif. Cela est inexact, dès lors que l'expert mentionne ses constatations objectives sur une page et demi (p. 30 et 31). Il est par ailleurs le propre d'une expertise psychiatrique de se fonder largement sur des éléments subjectifs ressortant du ressenti de la personne expertisée, tant qu'il n'y a pas d'indices de simulation ou de majoration. De surcroît, il est expressément exigé par la jurisprudence en la matière que l'expert prenne en considération les plaintes de l'expertisé. Il est également inexact que le Dr J_________ n'ait pas expliqué pourquoi il s'écartait des conclusions du Dr C_________, comme l'affirme la</w:t>
      </w:r>
    </w:p>
    <w:p>
      <w:r>
        <w:t>A/920/2010 - 19/22 - Dresse K_________. Au contraire, il a exposé dans les détails pour quelles raisons il retenait les diagnostics et écartait certains de ceux du Dr C_________. En tout état de cause, comme relevé ci-dessus, l'expertise de ce dernier n'est pas convaincante. Cela étant, une pleine valeur probante peut être attribuée à l'expertise judiciaire. L'expert judiciaire a retenu un trouble dysthymique à début précoce, et un épisode dépressif majeur, récurrent, en rémission partielle, épisode actuel léger. Selon lui, il s'agit d'une "double dépression" dont le pronostic est mauvais. La recourante souffre en outre d'un trouble de conversion avec présentation mixte. Ce diagnostic est fondé sur les pertes de connaissance de la recourante qui ont débuté durant l'adolescence et ont persisté tout le long de sa vie, actuellement environ deux fois par an. Ces crises ont motivé plusieurs passages aux urgences des hôpitaux. Une crise de cette nature était survenue également sur le lieu travail fin 2005. Selon l'expert, il s'agit d'une coupure psychogène brusque du lien avec la réalité, signe d'un épuisement total des ressources adaptatives de la recourante. A cela s'ajoutent des symptômes moteurs (une jambe qui se dérobe, faiblesse musculaire, troubles visuels, bruits entendus paraissant appartenir au registre des pseudo-hallucinations dissociatives). L'expert estime aussi que les critères sont remplis pour un trouble panique avec agoraphobie, ainsi qu'une phobie spécifique sous forme de claustrophobie, et une phobie sociale. L'assurée est également atteinte d'un trouble obsessionnel-compulsif avec des rituels de rangement. Ce trouble a déjà réduit rendement dans l'emploi occupé précédemment, selon les renseignements donnés par la Dresse B_________. Enfin, la recourante est atteinte d'un trouble somatoforme douloureux. Dans l'axe II des classifications des maladies psychiatriques, l'expert judiciaire a mentionné un trouble de la personnalité non spécifié. Ce trouble était à la base de la décompensation psychique durable de la recourante. Il le qualifie d'important. L'étendue de l'atteinte sur plusieurs classes de personnalité morbide est confirmée par les tests psychologiques de la personnalité effectués par le Dr C_________. Si ce dernier n'a néanmoins pas retenu un trouble de la personnalité, c'est qu'il a attribué les hauts scores réalisés par la recourante dans ces tests tantôt à une certaine limitation linguistique, tantôt à une tendance à la dramatisation, constatations que l'expert judiciaire a écartées. Selon celui-ci, la recourante est totalement incapable de travailler. Il est vrai que la Dresse B_________ a considéré, dans son rapport du 15 décembre 2008, que la capacité de travail était au moins de 60 %. Cependant, lors du consilium de l'expert judiciaire avec ce médecin, en date du 3 septembre 2010, elle a évalué l'incapacité de travail à 100%. Si elle a indiqué dans le rapport précité que celle-ci était d'environ 40 %, cela ne correspondait plus à la réalité clinique actuelle. Sa précédente appréciation était basée sur la forte motivation de l'expertisée à regagner une certaine capacité de travail et une place dans le monde professionnel, mais ne correspondait pas, même à l'époque, à une réelle capacité de travail immédiate.</w:t>
      </w:r>
    </w:p>
    <w:p>
      <w:r>
        <w:t>A/920/2010 - 20/22 - Il ressort par ailleurs de l'expertise que l'incapacité de travail de la recourante est la conséquence d'une multitude d'atteintes psychiatriques autres qu'un trouble somatoforme douloureux. Cela est également l'avis de la Dresse B_________ qui a considéré que le trouble somatoforme douloureux n'est pas la cause principale de l'handicap de sa patiente. Aussi, il ne s'avère pas nécessaire d'examiner la capacité de travail de la recourante sous l'angle des critères élaborés par notre Haute Cour pour apprécier le caractère invalidant d'un tel trouble ou d'une fibromyalgie. Certes, la Dresse K_________ a estimé que l'ensemble des atteintes psychiatriques mentionnées par l'expert judiciaire peut être résumé sous le diagnostic du trouble somatoforme douloureux avec une dysthymie et un épisode dépressif léger. Cependant, ce faisant, elle fait abstraction du trouble de la personnalité diagnostiqué par l'expert judiciaire, du trouble de conversion mixte, du trouble panique avec agoraphobie et des autres phobies, ainsi que du trouble obsessionnel- compulsif. En tout état de cause, il y aurait lieu de considérer qu'au vu de ces atteintes multiples, le trouble somatoforme douloureux est accompagné en l'espèce d'une comorbidité grave, de sorte qu'un caractère invalidant doit lui être reconnu. Cela étant, le Tribunal de céans admet, sur la base de l'expertise judiciaire, que la recourante présente une incapacité de travail totale pour l'exercice d'une activité lucrative depuis septembre 2005.</w:t>
      </w:r>
    </w:p>
    <w:p>
      <w:r>
        <w:rPr>
          <w:b/>
        </w:rPr>
        <w:t>E. 11</w:t>
      </w:r>
    </w:p>
    <w:p>
      <w:r>
        <w:t>S'agissant de sa capacité de travail dans le ménage, il ressort des rapports médicaux qu'elle parvient encore à effectuer bon nombre de tâches ménagères et qu'avec l'aide de son mari, l'ensemble de ces tâches peut être assuré. L'aide apportée par celui-ci dans le ménage (faire la vaisselle, passer l'aspirateur une fois par semaine, amener la lessive à la machine à laver, courses, occasionnellement laver les rideaux et les vitres), ne paraît en outre pas dépasser ce qui peut être exigé de la part d'un membre de la famille en pareilles circonstances. Aussi, par appréciation anticipée des preuves, le Tribunal de céans n'admettra pas d'invalidité dans le ménage.</w:t>
      </w:r>
    </w:p>
    <w:p>
      <w:r>
        <w:rPr>
          <w:b/>
        </w:rPr>
        <w:t>E. 12</w:t>
      </w:r>
    </w:p>
    <w:p>
      <w:r>
        <w:t>L'incapacité de la recourante étant totale dans l'activité lucrative exercée à 50%, il y a dès lors lieu de lui reconnaître un degré d'invalidité de ce taux, ce qui ouvre le droit à une demi-rente d'invalidité. Sa demande ayant été déposée en mai 2006, il convient de lui octroyer cette rente à partir du 1er septembre 2006, soit une année après le début de son incapacité de travail.</w:t>
      </w:r>
    </w:p>
    <w:p>
      <w:r>
        <w:rPr>
          <w:b/>
        </w:rPr>
        <w:t>E. 13</w:t>
      </w:r>
    </w:p>
    <w:p>
      <w:r>
        <w:t>Au vu de ce qui précède, le recours sera admis, la décision litigieuse annulée et la recourante mise au bénéfice d'une demi-rente d'invalidité à partir du 1er septembre 2006.</w:t>
      </w:r>
    </w:p>
    <w:p>
      <w:r>
        <w:t>A/920/2010 - 21/22 -</w:t>
      </w:r>
    </w:p>
    <w:p>
      <w:r>
        <w:rPr>
          <w:b/>
        </w:rPr>
        <w:t>E. 14</w:t>
      </w:r>
    </w:p>
    <w:p>
      <w:r>
        <w:t>La recourante obtenant partiellement gain de cause, il y a lieu de lui attribuer une indemnité de 2'000 fr. à titre de dépens.</w:t>
      </w:r>
    </w:p>
    <w:p>
      <w:r>
        <w:rPr>
          <w:b/>
        </w:rPr>
        <w:t>E. 15</w:t>
      </w:r>
    </w:p>
    <w:p>
      <w:r>
        <w:t>L'intimé qui succombe en large partie sera condamné à un émolument de justice de 200 fr.</w:t>
      </w:r>
    </w:p>
    <w:p>
      <w:r>
        <w:t>A/920/2010 - 22/22 -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