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ATAS/1144/2011 vom 24. November 2011</w:t>
      </w:r>
    </w:p>
    <w:p>
      <w:r>
        <w:t>GE Cour de justice, 2011-11-24, FR</w:t>
      </w:r>
    </w:p>
    <w:p>
      <w:r>
        <w:rPr>
          <w:b/>
        </w:rPr>
        <w:t xml:space="preserve">Quelle: </w:t>
      </w:r>
      <w:r>
        <w:t>https://mcp.opencaselaw.ch/entscheid/ge_gerichte_ATAS_1144_2011</w:t>
      </w:r>
    </w:p>
    <w:p>
      <w:r>
        <w:t>FR: GE_GERICHTE ATAS/1144/2011 du 24 novembre 2011</w:t>
      </w:r>
    </w:p>
    <w:p>
      <w:r>
        <w:t>IT: GE_GERICHTE ATAS/1144/2011 del 24 novembre 2011</w:t>
      </w:r>
    </w:p>
    <w:p>
      <w:pPr>
        <w:pStyle w:val="Heading2"/>
      </w:pPr>
      <w:r>
        <w:t>Erwägungen</w:t>
      </w:r>
    </w:p>
    <w:p>
      <w:r>
        <w:rPr>
          <w:b/>
        </w:rPr>
        <w:t>E. 16</w:t>
      </w:r>
    </w:p>
    <w:p>
      <w:r>
        <w:t>Le 27 octobre 2008, l'OAI a adressé à l'assurée un projet de décision dont il ressortait qu'il se proposait de lui reconnaitre un degré d’invalidité de 32 % seulement pour la période postérieure à août 2005, insuffisant pour ouvrir droit à une rente.</w:t>
      </w:r>
    </w:p>
    <w:p>
      <w:r>
        <w:rPr>
          <w:b/>
        </w:rPr>
        <w:t>E. 17</w:t>
      </w:r>
    </w:p>
    <w:p>
      <w:r>
        <w:t>Le 26 novembre 2008, l'assurée s'est opposée à ce projet en indiquant qu'elle ne pensait pas être en mesure d'assumer une charge à 80%, vu son état de santé.</w:t>
      </w:r>
    </w:p>
    <w:p>
      <w:r>
        <w:rPr>
          <w:b/>
        </w:rPr>
        <w:t>E. 18</w:t>
      </w:r>
    </w:p>
    <w:p>
      <w:r>
        <w:t>Le 7 décembre 2008, l'assurée a recontacté l’OAI en affirmant sa volonté de se soumettre à un stage professionnel.</w:t>
      </w:r>
    </w:p>
    <w:p>
      <w:r>
        <w:rPr>
          <w:b/>
        </w:rPr>
        <w:t>E. 19</w:t>
      </w:r>
    </w:p>
    <w:p>
      <w:r>
        <w:t>La division de réadaptation professionnelle en a pris note et a proposé en date du 27 mars 2009 d'offrir à l'assurée une recherche d'emploi et/ou de stage en participant dans un premier temps à un atelier-club-emploi ceci afin de la mobiliser dans un projet professionnel dans le milieu économique ordinaire.</w:t>
      </w:r>
    </w:p>
    <w:p>
      <w:r>
        <w:rPr>
          <w:b/>
        </w:rPr>
        <w:t>E. 20</w:t>
      </w:r>
    </w:p>
    <w:p>
      <w:r>
        <w:t>Par communication du 29 mai 2009, l'OAI a mis l'assurée au bénéfice d'une mesure d'orientation professionnelle.</w:t>
      </w:r>
    </w:p>
    <w:p>
      <w:r>
        <w:t>A/1561/2011 - 6/14 -</w:t>
      </w:r>
    </w:p>
    <w:p>
      <w:r>
        <w:rPr>
          <w:b/>
        </w:rPr>
        <w:t>E. 21</w:t>
      </w:r>
    </w:p>
    <w:p>
      <w:r>
        <w:t>Un premier entretien s'est tenu en date du 16 juin 2009, qui a permis d’examiner le parcours et la formation de l'assurée et de rédiger un curriculum vitae. Un second rendez-vous s'est tenu en date du 19 juin 2009, au cours duquel une lettre de motivation a été rédigée. Un troisième rendez-vous a été annulé par l'assurée qui a annoncé qu'elle reprendrait contact, ce qu'elle n'a jamais fait.</w:t>
      </w:r>
    </w:p>
    <w:p>
      <w:r>
        <w:rPr>
          <w:b/>
        </w:rPr>
        <w:t>E. 22</w:t>
      </w:r>
    </w:p>
    <w:p>
      <w:r>
        <w:t>Par courrier du 1er octobre 2009, l'OAI a demandé un certain nombre de renseignements à l'assurée qui n'y a pas répondu.</w:t>
      </w:r>
    </w:p>
    <w:p>
      <w:r>
        <w:rPr>
          <w:b/>
        </w:rPr>
        <w:t>E. 23</w:t>
      </w:r>
    </w:p>
    <w:p>
      <w:r>
        <w:t>Le 28 octobre 2009, l'OAI lui a dès lors adressé une sommation lui enjoignant de lui répondre, à défaut de quoi il statuerait sur la base du dossier.</w:t>
      </w:r>
    </w:p>
    <w:p>
      <w:r>
        <w:rPr>
          <w:b/>
        </w:rPr>
        <w:t>E. 24</w:t>
      </w:r>
    </w:p>
    <w:p>
      <w:r>
        <w:t>Par lettre du 12 janvier 2010, l'assurée a finalement répondu en affirmant sa volonté d'exercer une activité à 50 ou 60%.</w:t>
      </w:r>
    </w:p>
    <w:p>
      <w:r>
        <w:rPr>
          <w:b/>
        </w:rPr>
        <w:t>E. 25</w:t>
      </w:r>
    </w:p>
    <w:p>
      <w:r>
        <w:t>Après examen de son dossier, l'OAI a décidé de mettre en place un stage d'observation, tel que préconisé précédemment par les EPI afin d'évaluer la capacité de travail de l'assurée plus précisément (entre 50 et 80 %) et de mettre en place des stages en entreprise.</w:t>
      </w:r>
    </w:p>
    <w:p>
      <w:r>
        <w:rPr>
          <w:b/>
        </w:rPr>
        <w:t>E. 26</w:t>
      </w:r>
    </w:p>
    <w:p>
      <w:r>
        <w:t>Un sage d'observation et d'orientation a ainsi été mis sur pied dont le mandat a été confié aux EPI. Ceux-ci ont rendu leur rapport en date du 2 juillet 2010 (pièce 143 intimé), à l’issue d’un stage de secrétariat chez X___________. Les EPI ont expliqué que ce stage dans une entreprise de transports n’avait pas permis de répondre aux questions posées quant à la capacité de travail de l’assurée car il n’était pas suffisamment adapté : la saisie à l’écran fatiguait beaucoup l'assurée mais c’était parce que les cases, trop petites, ne pouvaient être agrandies ; qui plus est, le logiciel comptable était tombé en panne de sorte que l'assurée n'avait pu être testée en comptabilité ; en définitive, le stage avait consisté à prendre les téléphones des clients, à répartir le travail entre les chauffeurs, à saisir tous les téléphones sur Excel et à effectuer diverses tâches de classement ; pour le reste, les responsables de l'entreprise avaient beaucoup apprécié la gentillesse, la bonne humeur et la volonté de l'assurée. Le stage n’ayant pas permis de tirer de conclusions probantes, les EPI se sont référés à l'évaluation intra muros et ont conclu à une capacité de travail de 80% avec des rendements proches de la norme dans l'activité de comptable en précisant que l'assurée, compte tenu de sa fatigabilité visuelle, ne devrait pas travailler des heures d'affilée sur écran, et que ses déplacements devraient être restreints puisqu’elle doit s’aider d'une canne. Une mise à niveau concernant les normes comptables et un complément de formation sur logiciels de bureautique ont été préconisés dont il a été estimé qu'ils seraient pleinement à la portée de l'assurée et augmenteraient sensiblement son employabilité.</w:t>
      </w:r>
    </w:p>
    <w:p>
      <w:r>
        <w:t>A/1561/2011 - 7/14 - Par ailleurs, les EPI ont confirmé la très faible résistance physique de l’assurée et ses troubles de la vision sur le moyen ou long terme. Ils ont souligné qu’elle n’était capable que d'exécuter des travaux de type sédentaire, variés et n’impliquant aucun déploiement de force. Il a néanmoins été relevé que la résistance de l'intéressée s'était sensiblement améliorée durant le stage puisque son taux de présence, de 50% les deux premières semaines et demie, était passé à 100% (correspondant en réalité à un 80%) les quatre semaines et demie suivantes. Les capacités intellectuelles et d'apprentissage ont été qualifiées de "pleines et entières". Il a été estimé qu'une formation adéquate de niveau CFC était parfaitement envisageable. Les qualités d'écoute, de ponctualité, d'organisation et de logique de l'assurée ont été soulignées ainsi que son sens du détail, sa serviabilité et son caractère volontaire et optimiste. Il a été préconisé de privilégier le domaine tertiaire mais dans une activité variée de type bureautique et/ou administratif (assistante des ressources humaines par exemple).</w:t>
      </w:r>
    </w:p>
    <w:p>
      <w:r>
        <w:rPr>
          <w:b/>
        </w:rPr>
        <w:t>E. 27</w:t>
      </w:r>
    </w:p>
    <w:p>
      <w:r>
        <w:t>Le 15 avril 2011, l'OAI a rendu une décision niant le droit de l'assurée à une rente pour la période postérieure à août 2005. L’OAI a considéré que l’assurée était capable d'exercer son activité habituelle de comptable à un taux de 80%. Le taux d'invalidité correspondait dès lors à la diminution de la capacité de travail, à savoir 20 %, taux insuffisant pour ouvrir droit à des prestations. L'OAI a considéré qu'une réduction supplémentaire du salaire d'invalide ne se justifiait pas dans la mesure où l'assurée n'avait pas à changer d'activité.</w:t>
      </w:r>
    </w:p>
    <w:p>
      <w:r>
        <w:rPr>
          <w:b/>
        </w:rPr>
        <w:t>E. 28</w:t>
      </w:r>
    </w:p>
    <w:p>
      <w:r>
        <w:t>Par écriture du 26 mai 2011, l'assurée a interjeté recours contre cette décision en alléguant que le stage suivi dans une entreprise de transports à 50% avait démontré son incapacité à exercer une activité au taux exigé par l'OAI.</w:t>
      </w:r>
    </w:p>
    <w:p>
      <w:r>
        <w:rPr>
          <w:b/>
        </w:rPr>
        <w:t>E. 29</w:t>
      </w:r>
    </w:p>
    <w:p>
      <w:r>
        <w:t>Invité à se déterminer, l'intimé, dans sa réponse du 23 juin 2011, a conclu au rejet du recours.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w:t>
      </w:r>
    </w:p>
    <w:p>
      <w:r>
        <w:t>A/1561/2011 - 8/14 -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En l’espèce, la décision litigieuse est postérieure à l’entrée en vigueur de la LPGA et des modifications de la LAI relatives à la 4ème et à la 5ème révisions, entrées en vigueur respectivement en date des 1er janvier 2004 et 1er janvier 2008. Par conséquent, d’un point de vue matériel, le droit aux prestations doit être examiné au regard des nouvelles normes de la LPGA et des modifications de la LAI consécutives à la 5ème révision de cette loi, dans la mesure de leur pertinence (ATF 130 V 445 et les références, voir également ATF 130 V 329).</w:t>
      </w:r>
    </w:p>
    <w:p>
      <w:r>
        <w:t>En ce qui concerne la procédure, et à défaut de règles transitoires contraires, le nouveau droit s'applique sans réserve dès le jour de son entrée en vigueur (ATF 117 V 93 consid. 6b, 112 V 360 consid. 4a; RAMA 1998 KV 37 p. 316 consid. 3b). 3. Interjeté dans les formes et délai prévus par la loi, le recours est recevable (art. 56 à 61 LPGA). 4. Le litige se limite à la question du degré d'invalidité de la recourante pour la période postérieure au 31 août 2005, le Tribunal cantonal ayant d’ores et déjà confirmé la décision de l’OAI de supprimer la rente du 1er janvier 2003 au 31 août 2005. En d’autres termes, il convient d’examiner si, depuis le 31 août 2005, l’état de santé de l’assurée s’est dégradé au point d’influencer sa situation juridique et de lui rouvrir le droit à une rente. 5.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t>A/1561/2011 - 9/14 -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6.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A/1561/2011 - 10/14 -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7. En l’espèce, la recourante conteste le taux de capacité résiduelle de travail de 80% retenu par l'intimé à compter du 1er septembre 2005 sur la base de l’expertise du Dr M___________ et du rapport des EPI. Il n’est cependant pas contesté que le rapport du Dr M___________ doit se voir reconnaitre pleine valeur probante. L’atteinte à la santé est clairement établie, tout comme les limitations fonctionnelles qui en découlent. Le Dr M___________ a évalué la capacité de travail de l’assurée à 50-80%, laissant le soin aux maitres de stage professionnels d’affiner cette évaluation. A cet égard, le rapport des EPI explique clairement pour quelles raisons le stage d’observation n’a pas été probant et pourquoi il a finalement été décidé de se rallier aux conclusions théoriques de la division de réadaptation professionnelle. Après avoir pu observer la recourante in situ, il a paru raisonnable à ces spécialistes d’exiger de sa part une activité à 80%, tout en expliquant en détail en quoi devrait consister une telle activité. La Cour de céans se ralliera donc aux conclusions convergentes des différents intervenants - médecin expert, division de réadaptation professionnelle et EPI - et retiendra une capacité résiduelle de travail de 80% dans une activité adaptée c'est-à- dire sédentaire, n’impliquant aucun travail de force et permettant de varier les tâches, telle qu’une activité de bureau. Il est vrai que ce taux de 80% correspond au maximum de la fourchette évoquée par l’expert. Ce dernier a cependant souligné à plusieurs reprises qu’en se soumettant à un traitement adapté, l’assurée pourrait vraisemblablement influencer favorablement sa capacité de travail. C’est le lieu de rappeler l’obligation de diminuer le dommage qui incombe à tout assuré. Il s'agit là d'un principe général du droit des assurances sociales (ATF 129 V 463 consid. 4.2,</w:t>
      </w:r>
    </w:p>
    <w:p>
      <w:r>
        <w:t>A/1561/2011 - 11/14 - 123 V 233 consid. 3c, 117 V 278 consid. 2b, 400 et les arrêts cités). Dans cette mesure, les conclusions des EPI apparaissent parfaitement raisonnables. La Cour retiendra donc une capacité résiduelle de travail de 80% à compter d’août 2005, date à laquelle il n’est pas contesté que l’état de santé de l’assurée se soit aggravé puisqu’elle n’a plus été en mesure d’assumer le poste à plein temps qui était le sien jusqu’alors. 8. Reste à vérifier le calcul du degré d’invalidité auquel s’est livré l’intimé.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A/1561/2011 - 12/14 -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la recourante a travaillé durant quelques années en tant que comptable. Dans la mesure où le dernier poste occupé ne correspondait cependant manifestement pas à ses capacités et où le salaire qui lui était versé ne correspondait pour sa part pas à la situation du marché, c’est à juste titre que l’intimé s’est référé aux statistiques pour fixer le revenu avant invalidité. Si l’on se réfère tout comme l’intimé à l’Enquête suisse sur la structure des salaires éditée par l’Office fédéral de la statistique (ESS), on obtient un revenu avant invalidité de 72'190 fr. pour une femme exerçant à plein temps en 2005 dans le domaine de la comptabilité (ESS 2004, TA7, niveau 3, domaine d’activité 21 [comptabilité] : 5'716 fr./mois pour un horaire de 40h./sem. = 5'959 fr./mois pour un horaire de 41.6 h./sem. = 71'507 fr. en 2004 = 72'190 fr. en 2005 [cf. La Vie économique, tableau B10.3 n°12/2008 - p. 95]). Quant au revenu d’invalide, en l’absence de reprise d’activité in casu, il convient également de se référer aux salaires statistiques tels qu’ils découlent de l’ESS. Ainsi que cela a été dit supra, l’assurée pourrait exercer à 80% une activité adaptée, c'est-à-dire sédentaire et n’impliquant pas de travailler des heures d’affilée sur écran. A cet égard, on relèvera qu’ainsi que l’ont fait remarquer les EPI, une activité de gestion du personnel sera sans doute mieux adaptée car elle permettra d’éviter de passer de longues heures devant l’écran de l’ordinateur. Selon les données de l'ESS 2004, le revenu mensuel standardisé d'une femme exerçant une activité de comptable est le même que celui d’une femme active dans la gestion du personnel (TA7 domaine 21). On peut ainsi en déduire qu’en 2005, l’assurée, en exerçant dans ce domaine à 80%, aurait pu obtenir un revenu de 49'089 fr. en tenant compte d’une réduction supplémentaire de 15% telle que celle admise par la division de réadaptation professionnelle dans son rapport du 20 octobre 2008 (ESS 2004, TA7, niveau 3, domaine 21 : 5'716 fr. /mois pour un horaire de 40./sem. = 5'959 fr./mois pour un horaire de 41,6 h./sem. = 71'507 fr. en 2004 = 72'190 fr. en 2005 = 57'752 fr. à 80% en 2005 = 49'089 après réduction supplémentaire de 15%). La réduction supplémentaire est justifiée par le fait que l’assurée ne pourra rester longtemps à l’écran et devra en conséquence un peu modifier son champ d’activité. La comparaison des deux montants conduit à un degré d’invalidité de 32%, insuffisant pour ouvrir droit à une rente.</w:t>
      </w:r>
    </w:p>
    <w:p>
      <w:r>
        <w:t>A/1561/2011 - 13/14 - En revanche, il suffit à ouvrir droit à des mesures de réadaptation professionnelle telles que préconisées par les EPI dans leur rapport, à savoir une formation complémentaire en informatique ou dans le domaine des ressources humaines, par exemple. Le recours sera donc très partiellement admis en ce sens.</w:t>
      </w:r>
    </w:p>
    <w:p>
      <w:r>
        <w:t>A/1561/2011 - 14/14 -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