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ATAS/1143/2020 vom 24. November 2020</w:t>
      </w:r>
    </w:p>
    <w:p>
      <w:r>
        <w:t>GE Cour de justice, 2020-11-24, FR</w:t>
      </w:r>
    </w:p>
    <w:p>
      <w:r>
        <w:rPr>
          <w:b/>
        </w:rPr>
        <w:t xml:space="preserve">Quelle: </w:t>
      </w:r>
      <w:r>
        <w:t>https://mcp.opencaselaw.ch/entscheid/ge_gerichte_ATAS_1143_2020</w:t>
      </w:r>
    </w:p>
    <w:p>
      <w:r>
        <w:t>FR: GE_GERICHTE ATAS/1143/2020 du 24 novembre 2020</w:t>
      </w:r>
    </w:p>
    <w:p>
      <w:r>
        <w:t>IT: GE_GERICHTE ATAS/1143/2020 del 24 novembre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A/3128/2020 - 8/13 -</w:t>
      </w:r>
    </w:p>
    <w:p>
      <w:r>
        <w:rPr>
          <w:b/>
        </w:rPr>
        <w:t>E. 3</w:t>
      </w:r>
    </w:p>
    <w:p>
      <w:r>
        <w:t>Interjeté dans la forme et le délai prévus par la loi, le recours, interjeté sur la base de l'art. 56 al. 2 LPGA - qui prévoit qu'un recours peut également être formé lorsque l'assureur, malgré la demande de l'intéressé, ne rend pas de décision ou de décision sur opposition - est prima facie recevable en tant qu’il est dirigé contre le SAM. En revanche, il est manifestement irrecevable en tant qu’il vise le DCS, lequel n’est pas compétent pour statuer en matière de dispense de l’obligation de s’affilier, cette compétence incombant au SAM exclusivement (art. 4 de la loi d'application de la loi fédérale sur l'assurance-maladie du 29 mai 1997 [LaLAMal - J 3 05]).</w:t>
      </w:r>
    </w:p>
    <w:p>
      <w:r>
        <w:rPr>
          <w:b/>
        </w:rPr>
        <w:t>E. 4</w:t>
      </w:r>
    </w:p>
    <w:p>
      <w:r>
        <w:t>A ce stade, ne sera examinée que la seule question du bien-fondé des mesures superprovisionnelles/provisionnelles réclamées par les recourants.</w:t>
      </w:r>
    </w:p>
    <w:p>
      <w:r>
        <w:rPr>
          <w:b/>
        </w:rPr>
        <w:t>E. 5</w:t>
      </w:r>
    </w:p>
    <w:p>
      <w:r>
        <w:t>a.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articles 55 et 56 de cette dernière. L’art. 55 PA a trait à l’effet suspensif,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RS GE - E 5 10) prévoit des règles similaires. b.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w:t>
      </w:r>
    </w:p>
    <w:p>
      <w:r>
        <w:t>A/3128/2020 - 9/13 -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c. De jurisprudence constante, les mesures provisionnelles ont pour objet de régler transitoirement la situation en cause jusqu’à ce que soit prise la décision finale (ATA/326/2011 ; ATA/197/2011 du 28 mars 2011 ; P. MOOR, op. cit., numéro 2.2.6.8 p. 267). Elles sont modifiables pendant le cours de la procédure et les demandes s’y rapportant peuvent être déposées en tout temps.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(ATAS/582/2005).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ATA/197/2011 du 28 mars 2011 et les références citées).</w:t>
      </w:r>
    </w:p>
    <w:p>
      <w:r>
        <w:t>A/3128/2020 - 10/13 -</w:t>
      </w:r>
    </w:p>
    <w:p>
      <w:r>
        <w:rPr>
          <w:b/>
        </w:rPr>
        <w:t>E. 6</w:t>
      </w:r>
    </w:p>
    <w:p>
      <w:r>
        <w:t>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w:t>
      </w:r>
    </w:p>
    <w:p>
      <w:r>
        <w:rPr>
          <w:b/>
        </w:rPr>
        <w:t>E. 7</w:t>
      </w:r>
    </w:p>
    <w:p>
      <w:r>
        <w:t>En l'espèce, la demande de mesures superprovisionnelles est sans objet, les intimés s’étant d’ores et déjà exprimés. Seule reste donc pendante la question d’éventuelles mesures provisionnelles. Il convient de rappeler que le litige au fond ne porte pas sur la dispense ou non de l’obligation de s’affilier à l’assurance obligatoire des soins pour les recourants, pas plus que sur les affiliations d’office, mais uniquement sur le bien-fondé du recours en déni de justice formé à l’encontre du SAM. La question de la prétendue nullité des décisions rendues par le SAM ne saurait dès lors être abordée par la Cour à ce stade, dès lors qu’elle n’est saisie, comme déjà souligné, que d’un recours pour déni de justice à l’encontre de l’intimé. Il en va de même de la question d’une éventuelle interdiction faite à l’assureur- maladie de poursuivre les procédures de recouvrement. Là encore, cette question ne dépend pas du sort qui sera réservé au litige principal – déni de justice ou non : même en admettant qu’un déni de justice formel soit finalement reconnu, la question du bien-fondé des affiliations auxquelles il a été procédé ne sera toujours pas réglée. Force est de constater qu’en l’état, les conditions énoncées supra permettant la mise en place de mesures provisionnelles ne sont pas remplies. Annuler les décisions d’affiliation reviendrait à préjuger non seulement de la décision finale, mais pire encore, d’une décision faisant l’objet d’une autre procédure que celle dont est saisie la Cour de céans. L’urgence à agir n’est pas non plus démontrée, les recourants se contentant d’évoquer un risque pour leurs emplois sans en apporter la démonstration. Quant au pronostic quant à l’issue de la procédure en déni de justice, il apparaît d’emblée dépourvu de chances de succès, comme cela ressort de ce qui suit.</w:t>
      </w:r>
    </w:p>
    <w:p>
      <w:r>
        <w:rPr>
          <w:b/>
        </w:rPr>
        <w:t>E. 8</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w:t>
      </w:r>
    </w:p>
    <w:p>
      <w:r>
        <w:t>A/3128/2020 - 11/13 -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et exige des cantons que la procédure soit simple et rapide, ce qui constitue l'expression d'un principe général du droit des assurances sociales (ATF 110 V 61 consid. 4b; Ueli KIESER, Das einfache und rasche Verfahren, insbesondere im Sozialversicherungsrecht, in :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w:t>
      </w:r>
    </w:p>
    <w:p>
      <w:r>
        <w:t>A/3128/2020 - 12/13 -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Enfin,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w:t>
      </w:r>
    </w:p>
    <w:p>
      <w:r>
        <w:rPr>
          <w:b/>
        </w:rPr>
        <w:t>E. 9</w:t>
      </w:r>
    </w:p>
    <w:p>
      <w:r>
        <w:t>En l'espèce, les recourants ont d’abord été informés que le SAM considérait qu’ils devaient s’affilier à un assureur reconnu par courrier du 10 janvier 2020. Contestée le 26 février 2020, cette prise de position a été confirmée par décision formelle le 2 mars 2020, soit moins de deux mois plus tard. Opposition a été formée le 30 mars 2020, soit il y a de cela huit mois. Si l’on peut déplorer que la demande de documents contenue dans le courrier du 12 octobre 2020 ne soit pas intervenue plus tôt, un délai de huit mois ne saurait encore être qualifié prima facie de déni de justice formel. Il en va de même du délai de trois mois qui s’est écoulé depuis la demande « en constatation de nullité des procédures d’affiliation d’office » adressée le 25 août 2020 par les assurés au SAM, que l’on peut interpréter comme une opposition contre la décision du 3 juillet 2020 et comme une demande en reconsidération de celle du 8 juin – déjà formellement contestée au demeurant le 17 juin 2020. On le voit, les chances de succès du recours en déni de justice ne sont pas suffisamment évidentes pour considérer comme remplie la troisième condition permettant de prononcer des mesures provisionnelles, lesquelles sont donc rejetées dans la mesures où elles sont recevables.</w:t>
      </w:r>
    </w:p>
    <w:p>
      <w:r>
        <w:t>A/3128/2020 - 13/13 -</w:t>
      </w:r>
    </w:p>
    <w:p>
      <w:r>
        <w:t>PAR CES MOTIFS, LA CHAMBRE DES ASSURANCES SOCIALES : Statuant selon l’art. 21 al. 2 LPA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