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ATAS/1143/2013 vom 21. November 2013</w:t>
      </w:r>
    </w:p>
    <w:p>
      <w:r>
        <w:t>GE Cour de justice, 2013-11-21, FR</w:t>
      </w:r>
    </w:p>
    <w:p>
      <w:r>
        <w:rPr>
          <w:b/>
        </w:rPr>
        <w:t xml:space="preserve">Quelle: </w:t>
      </w:r>
      <w:r>
        <w:t>https://mcp.opencaselaw.ch/entscheid/ge_gerichte_ATAS_1143_2013</w:t>
      </w:r>
    </w:p>
    <w:p>
      <w:r>
        <w:t>FR: GE_GERICHTE ATAS/1143/2013 du 21 novembre 2013</w:t>
      </w:r>
    </w:p>
    <w:p>
      <w:r>
        <w:t>IT: GE_GERICHTE ATAS/1143/2013 del 21 novembre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 RSG J 4 25).</w:t>
      </w:r>
    </w:p>
    <w:p>
      <w:r>
        <w:t>A/3129/2012 - 4/9 - La compétence de la Chambre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w:t>
      </w:r>
    </w:p>
    <w:p>
      <w:r>
        <w:rPr>
          <w:b/>
        </w:rPr>
        <w:t>E. 7</w:t>
      </w:r>
    </w:p>
    <w:p>
      <w:r>
        <w:t>a) 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b) La renonciation à un usufruit sans obligation juridique ni contre-prestation équivalente constitue un dessaisissement. Comme pour l'usufruitier qui reste titulaire de son droit, celui qui s'en est dessaisi sans contre-prestation équivalente ne se voit pas imputer un revenu fictif sous la forme d'une fraction de la valeur capitalisée de l'usufruit, de sorte qu’il n'y a pas lieu d'admettre, parallèlement, un amortissement de 10'000 fr. par an sur cette valeur capitalisée, en application de l'art. 17a OPC-AVS/AI (ATF non publié 8C_68/2008 du 27 janvier 2009, consid. 4.2.3 ; ATF non publié P 34/94 du 9 décembre 1996, consid. 5, in VSI 1997 p. 148). Concernant le revenu dont l'ayant droit s'est dessaisi, le Tribunal fédéral a confirmé, dans un arrêt du 27 janvier 2009, qu’il convenait de prendre en considération un revenu fictif correspondant aux intérêts sur la valeur vénale de l'immeuble sur lequel portait l'usufruit (ATF non publié 8C_68/2008 du 27 janvier 2009, consid. 4.2.3 ; ATF non publié P 24/98 du 26 janvier 2000, consid. 4b ; ATF non publié P 43/99 du 2 mars 2000 et ATF non publié P 10/86 du 29 avril 1988). Il a ainsi expressément renoncé à une autre jurisprudence antérieure au terme de</w:t>
      </w:r>
    </w:p>
    <w:p>
      <w:r>
        <w:t>A/3129/2012 - 6/9 - laquelle un revenu fictif correspondant à la valeur locative du logement grevé d’usufruit avait été pris en considération après le dessaisissement (cf. ATF non publié P 58/00 du 18 juin 2003 ; ATF non publié P 80/99 du 16 février 2001). Notre Haute Cour a rappelé que le montant de la valeur vénale de l'immeuble sur lequel portait l'usufruit est réputé pouvoir être immobilisé pour une certaine durée, l'ayant droit n'étant pas censé l'entamer régulièrement pour subvenir à ses besoins courants. Déterminer l'intérêt sur la valeur vénale de l'immeuble en se référant simplement aux taux d'intérêts moyens sur les dépôts d'épargne ne prendrait pas suffisamment en compte cette circonstance. En partant de l'idée que l'usufruitier dispose sa vie durant du revenu de la fortune immobilisée, il convient plutôt de calculer le revenu fictif imputé à l'ayant droit en s'appuyant sur le taux d'intérêt moyen pour les obligations et bons de caisse en Suisse au cours de l'année précédant celle de l'octroi de la prestation complémentaire (ATF non publié 8C_68/2008 du 27 janvier 2009, consid. 4.2.3). Le taux d'intérêt moyen pour les obligations et bons de caisse était de 1.85% en 2011 (www.bfs.admin.ch/bfs/portal/fr/index/.../lexi.Document.21354.xls). c) Les directives de l'Office fédéral des assurances sociales concernant les prestations complémentaires à l'AVS/AI (ci-après DPC) stipulent que lorsqu’une personne renonce totalement à un usufruit, notamment si celui-ci est radié du registre foncier ou n’y est même pas inscrit, sa valeur annuelle est prise en compte en tant que revenu de la fortune immobilière. Se référant à l’ATF non publié P 80/99 du 16 février 2001, elles précisent que la valeur annuelle correspond à la valeur locative, après déduction des coûts que l’usufruitier a assumé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(DPC n° 3482.12, valables dès le 1er avril 2011).</w:t>
      </w:r>
    </w:p>
    <w:p>
      <w:r>
        <w:rPr>
          <w:b/>
        </w:rPr>
        <w:t>E. 8</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9</w:t>
      </w:r>
    </w:p>
    <w:p>
      <w:r>
        <w:t>En l'espèce, il convient de déterminer si la recourante s'est dessaisie de son usufruit viager sans obligation juridique ni contre-prestation équivalente, étant rappelé que</w:t>
      </w:r>
    </w:p>
    <w:p>
      <w:r>
        <w:t>A/3129/2012 - 7/9 - ce droit lui a été accordé par ses enfants lors de la donation de 1996 et a été radié du registre foncier au moment de la vente des biens immobiliers, en 2004. La recourante soutient avoir donné son usufruit à ses enfants en contrepartie des charges dont ils se sont acquittés, seuls, à sa place, entre 1996 et 2004. Elle en tire la conclusion qu’il ne se justifie donc pas de retenir le moindre montant au titre de valeur de l’usufruit. La Cour de céans relève toutefois que l’acte de donation du 26 avril 1996 prévoit expressément l’obligation pour les donataires de supporter les impôts et les charges afférentes aux immeubles donnés, de sorte que le respect de cette obligation ne saurait en aucun cas être considéré comme une contre-prestation à l’abandon de l’usufruit intervenu huit ans plus tard, le 18 novembre 2004. Dans la mesure où rien n’obligeait la recourante à céder son usufruit et où elle n’a pas été dédommagée pour ce fait, il y a lieu de conclure qu’elle y a renoncé sans contre-prestation et qu’elle s’en est donc dessaisie. Partant, la prise en considération dans le calcul des prestations complémentaires d'un revenu de l'usufruit auquel la recourante a renoncé n'est pas critiquable dans son principe.</w:t>
      </w:r>
    </w:p>
    <w:p>
      <w:r>
        <w:rPr>
          <w:b/>
        </w:rPr>
        <w:t>E. 10</w:t>
      </w:r>
    </w:p>
    <w:p>
      <w:r>
        <w:t>S’agissant de la méthode de calcul utilisée pour déterminer le revenu dont la recourante s'est dessaisie, l’intimé s’est référé au ch. 3482.12 des DPC et s’est basé sur la valeur locative des biens immobiliers. La recourante, se référant à ce même ch. 3482.12 des DPC, reproche à l’intimé de ne pas avoir calculé la valeur locative après déduction des coûts qu’elle aurait dû assumer en sa qualité d’usufruitière, notamment des intérêts hypothécaires et des frais d’entretien de l’immeuble. Il sied à cet égard de rappeler que les instructions de l'administration, en particulier de l'autorité de surveillance, visent à unifier, voire à codifier la pratique des organes d'exécution et sont destinées à assurer l'application uniforme des prescriptions légales.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131 V 42 consid. 2.3 et les références citées).</w:t>
      </w:r>
    </w:p>
    <w:p>
      <w:r>
        <w:t>A/3129/2012 - 8/9 - La Cour de céans rappelle que le ch. 3482.12 des DPC se fonde sur une pratique du Tribunal fédéral (ATF non publié P 80/99 du 16 février 2001) à laquelle ce dernier a volontairement renoncé (ATF non publié 8C_68/2008 du 27 janvier 2009, consid. 4.2.3), de sorte que ce chiffre des DPC doit être écarté au profit de la dernière jurisprudence fédérale. Désormais, il sied de prendre en considération un revenu fictif correspondant aux intérêts sur la valeur vénale de l'immeuble sur lequel portait l'usufruit. Par ailleurs, la recourante fait grief à l’intimé d’avoir omis de tenir compte de son âge et du fait qu’elle était co-usufruitière avec son époux. La Cour de céans, constate en premier lieu que la recourante a été l’unique bénéficiaire de l’usufruit depuis le décès de son mari, en 1997, et observe en second lieu que de tels critères ne sont nullement prévus par la jurisprudence applicable, qui définit clairement la méthode de calcul. Cette argumentation ne saurait donc être suivie. Enfin, la recourante soutient que si elle avait cédé ses biens immobiliers en 1996, aucune valeur résiduelle n’aurait subsisté au 1er mars 2012, après la réduction des 10'000 fr. par année pour l’établissement de la valeur d’un bien dessaisi. La Cour de céans rappelle que le litige porte sur la renonciation à l’usufruit, et non sur un éventuel dessaisissement des biens. Le revenu hypothétique de l’usufruit doit donc être considéré comme un dessaisissement de revenu et non, après capitalisation correspondante, comme un dessaisissement de fortune, ce qui exclut la possibilité d’un amortissement au sens de l’art. 17a OPC-AVS/AI. Par conséquent, il convient de déterminer le revenu fictif correspondant aux intérêts sur la valeur vénale des biens immobiliers sur lesquels portait l'usufruit. Compte tenu du prix de vente desdits biens (500'000 fr.) dont il faut déduire les dettes hypothécaires (148'500 fr. et 29'700 fr.), et du taux de 1.85 %, le montant annuel à retenir à titre de produit des biens immobiliers est de 5'953 fr. 30 (321'800 fr. x 1.85%). Le dossier doit donc être renvoyé à l'intimé pour qu'il reprenne le calcul des prestations complémentaires dès le 1er mars 2012.</w:t>
      </w:r>
    </w:p>
    <w:p>
      <w:r>
        <w:rPr>
          <w:b/>
        </w:rPr>
        <w:t>E. 11</w:t>
      </w:r>
    </w:p>
    <w:p>
      <w:r>
        <w:t>Bien fondé, le recours est admis et la décision du 14 septembre 2012 annulée en tant qu'elle prend en compte un usufruit d’une valeur de 15’000 fr. à titre de produit de la fortune. La cause est renvoyée à l'intimé pour nouvelle décision au sens des considérants. La recourante, qui obtient gain de cause, a droit à une indemnité de dépens fixée à 1'000 fr. (art. 61 let. g LPGA et 89H al. 3 de la loi sur la procédure administrative du 12 septembre 1985 [LPA ; RSG E 5 10]). Pour le surplus, la procédure est gratuite (art. 61 let. a LPGA et 89H al. 1 LPA).</w:t>
      </w:r>
    </w:p>
    <w:p>
      <w:r>
        <w:t>A/3129/2012 - 9/9 - PAR CES MOTIFS, LA CHAMBRE DES ASSURANCES SOCIALES : Statuant A la forme : 1. Déclare le recours recevable. Au fond : 2. L'admet partiellement au sens des considérants et annule la décision du</w:t>
      </w:r>
    </w:p>
    <w:p>
      <w:r>
        <w:rPr>
          <w:b/>
        </w:rPr>
        <w:t>E. 14</w:t>
      </w:r>
    </w:p>
    <w:p>
      <w:r>
        <w:t>septembre 2012 en tant qu'elle prend en compte un usufruit d’une valeur de 15'000 fr. à titre de produit de la fortune. 3. Renvoie la cause à l’intimé pour nouveau calcul des prestations conformément aux considérants. 4. Condamne l'intimé à verser une indemnité de procédure de 1'000 fr. en faveur de la recourante,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