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ATAS/1143/2009 vom 9. September 2009</w:t>
      </w:r>
    </w:p>
    <w:p>
      <w:r>
        <w:t>GE Cour de justice, 2009-09-09, FR</w:t>
      </w:r>
    </w:p>
    <w:p>
      <w:r>
        <w:rPr>
          <w:b/>
        </w:rPr>
        <w:t xml:space="preserve">Quelle: </w:t>
      </w:r>
      <w:r>
        <w:t>https://mcp.opencaselaw.ch/entscheid/ge_gerichte_ATAS_1143_2009</w:t>
      </w:r>
    </w:p>
    <w:p>
      <w:r>
        <w:t>FR: GE_GERICHTE ATAS/1143/2009 du 9 septembre 2009</w:t>
      </w:r>
    </w:p>
    <w:p>
      <w:r>
        <w:t>IT: GE_GERICHTE ATAS/1143/2009 del 9 settembre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demande de prestation ayant été effectuée le 28 février 2006, la LPGA s’applique par conséquent au cas d’espèce.</w:t>
      </w:r>
    </w:p>
    <w:p>
      <w:r>
        <w:t>A/229/2009 - 8/15 -</w:t>
      </w:r>
    </w:p>
    <w:p>
      <w:r>
        <w:rPr>
          <w:b/>
        </w:rPr>
        <w:t>E. 3</w:t>
      </w:r>
    </w:p>
    <w:p>
      <w:r>
        <w:t>Interjeté dans les forme et délai légaux, le recours est recevable (art. 38 à 41, 56 ss LPGA).</w:t>
      </w:r>
    </w:p>
    <w:p>
      <w:r>
        <w:rPr>
          <w:b/>
        </w:rPr>
        <w:t>E. 4</w:t>
      </w:r>
    </w:p>
    <w:p>
      <w:r>
        <w:t>Est litigieuse la question de savoir si le recourant peut bénéficier d'une rente d'invalidité ou, cas échéant, de mesures professionnelles et s'il y a lieu d'ordonner une expertise complémentaire.</w:t>
      </w:r>
    </w:p>
    <w:p>
      <w:r>
        <w:rPr>
          <w:b/>
        </w:rPr>
        <w:t>E. 5</w:t>
      </w:r>
    </w:p>
    <w:p>
      <w:r>
        <w:t>Le recourant allègue, en premier lieu, qu'il convient d'ordonner une expertise bidisciplinaire afin de tenir compte des douleurs ressenties. En second lieu, il fait grief de ce que l'appréciation du Dr P__________ est excessivement sévère et qu'il sied de prendre en considération le taux d'incapacité arrêté par son médecin traitant.</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rPr>
          <w:b/>
        </w:rPr>
        <w:t>E. 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8</w:t>
      </w:r>
    </w:p>
    <w:p>
      <w:r>
        <w:t>Dans le cas particulier, l'expertise effectuée par le Dr P__________, en date du 27 mars 2006, a tenu compte de l'anamnèse du recourant, de ses antécédents médicaux, de ses plaintes et de son status clinique, ce dernier comprenant l'examen du rachis, des membres inférieurs, du pied droit et du pied gauche. Les conclusions prises par l'expert sont claires et motivées. Les plaintes relatives aux douleurs ressenties au niveau des deux pieds figurent dans l'expertise et ont été prises en considération. Elles justifient d'ailleurs une incapacité de travail totale dans l'activité exercée jusqu'alors. A cet égard, le Dr P__________ a indiqué que les plaintes étaient</w:t>
      </w:r>
    </w:p>
    <w:p>
      <w:r>
        <w:t>A/229/2009 - 9/15 - corroborées par l'examen physique, en particulier, l'hyperesthésie algique du pied droit en raison de l'état cicatriciel de la plante du pied. Enfin, après examen du scan, il a indiqué qu'il n'y avait pas d'atteinte osseuse évoquant une ostéomyélite. Ainsi, force est de constater que l'expertise susmentionnée doit se voir reconnaître pleine valeur probante. Par ailleurs, une expertise bidisciplinaire se révèle être superflue dans la mesure où, comme il a été mentionné, les douleurs au niveau des pieds ont été dûment prises en considération par l'expert pour l'estimation de l'incapacité de travail de l'assuré, médecin qui, il convient de le souligner, est spécialisé en orthopédie. Or, les douleurs ressenties relèvent essentiellement du domaine orthopédique dès lors qu'elles sont étroitement liées aux altérations du squelette des pieds du recourant. En effet, l'expertise mentionne que c'est l'enraidissement du pied droit qui provoque des durillons sous les têtes métatarsiennes. En outre, le 1er orteil du pied gauche est coiffé d'une hyperkératose cicatricielle, laquelle est extrêmement douloureuse à l'appui. Par ailleurs les troubles du pied gauche résultent principalement de l'enraidissement du moignon du 1er orteil, lequel provoque un appui douloureux à la fin du pas. Ceci est corroboré par le fait que le médecin traitant n'a jamais invité l'assuré à aller consulter un rhumatologue et que ce dernier n'a, au contraire, été examiné que par des orthopédistes. Par conséquent, il ne sera pas donné suite aux allégations du recourant, selon lesquelles, les douleurs ressenties justifient un examen bidisciplinaire rhumatologique et orthopédique. Une telle expertise complémentaire ne saurait par ailleurs se justifier du seul fait que les conclusions de l'expert divergent de celles du médecin-traitant dont l'appréciation n'a, selon la jurisprudence du Tribunal fédéral, pas le même poids que celle d'un expert indépendant. Il convient encore de souligner que le Dr O_________ a estimé la capacité de travail de son patient dans une activité adaptée sur la base d'un diagnostic erroné. En effet, le médecin a retenu que son patient souffrait d'une ostéomyélite du pied droit alors qu'une telle pathologie a été par la suite écartée par le Dr Q__________ suite au scan effectué le 26 avril 2006. Ainsi, le taux de capacité de travail estimé à 50 % dans une activité adaptée établi par le médecin- traitant, ne saurait être retenu.</w:t>
      </w:r>
    </w:p>
    <w:p>
      <w:r>
        <w:rPr>
          <w:b/>
        </w:rPr>
        <w:t>E. 9</w:t>
      </w:r>
    </w:p>
    <w:p>
      <w:r>
        <w:t>Le recourant fait de plus grief, de ce que le taux d'invalidité retenu, à savoir 21% est erroné. Selon lui, l'intimé aurait dû appliquer la méthode spécifique pour non actifs, laquelle est utilisée en pratique pour les personnes exerçant une activité en qualité d'indépendant.</w:t>
      </w:r>
    </w:p>
    <w:p>
      <w:r>
        <w:rPr>
          <w:b/>
        </w:rPr>
        <w:t>E. 10</w:t>
      </w:r>
    </w:p>
    <w:p>
      <w:r>
        <w:t>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t>A/229/2009 - 10/15 - En vertu de l’art. 28 al. 1er LAI (dans sa teneur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11</w:t>
      </w:r>
    </w:p>
    <w:p>
      <w:r>
        <w:t>En vertu de l’art. 28a al. 1er LAI (dans sa version au 1er janvier 2008 mais dont la teneur est la même que celle de l'ancien art. 28 al. 2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vertu de l’art. 28a al. 2 LAI (dans sa version au 1er janvier 2008, mais dont la teneur est la même que celle de l'ancien art. 28 al. 2 bis LAI), l’invalidité de l’assuré qui n’exerce pas d’activité lucrative et dont on ne peut raisonnablement exiger qu’il en entreprenne une est évaluée, en dérogation à l’art. 16 LPGA, en fonction de son incapacité à accomplir ses travaux habituels. Par travaux habituels, il faut entendre notamment l’activité usuelle dans le ménage, l’éducation des enfants ainsi que toute activité artistique ou d’utilité publique (art. 27 1ère phrase RAI). La comparaison des revenus s'effectue, en règle ordinaire, en chiffrant aussi exactement que possible les montants des deux revenus à prendre en considération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w:t>
      </w:r>
    </w:p>
    <w:p>
      <w:r>
        <w:t>A/229/2009 - 11/15 - enquêtes sur la structure des salaires de l'Office fédéral de la statistique (ATF 126 V 76 consid. 3b/aa et bb). S'agissant des indépendants, la circulaire de l'Office fédéral des assurances sociales (ci-après OFAS) concernant l'invalidité et l'impotence (ci-après CIIAI) prévoit que l'on examine le développement probable qu'aurait suivi l'entreprise de la personne assurée si celle-ci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Lorsque l'on ne peut établir une diminution importante, pour cause d'invalidité, du revenu de l'entreprise d'une personne indépendante, laquelle continue à travailler dans l'entreprise,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chiffre 3078).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 ATAS 526/2005).</w:t>
      </w:r>
    </w:p>
    <w:p>
      <w:r>
        <w:rPr>
          <w:b/>
        </w:rPr>
        <w:t>E. 12</w:t>
      </w:r>
    </w:p>
    <w:p>
      <w:r>
        <w:t>En l'espèce, avant la survenance de son incapacité de travail, le recourant a exercé, en qualité d'indépendant, le métier de chauffeur pour des personnes handicapées et ce de 2000 à 2002. Son entreprise a été déclarée en faillite par jugement du 1er juillet 2004. Dans ses observations du 14 juillet 2008, l'OCAI a constaté que les</w:t>
      </w:r>
    </w:p>
    <w:p>
      <w:r>
        <w:t>A/229/2009 - 12/15 - revenus tirés des comptes de l'assuré ne permettaient pas d'établir de manière fiable le revenu qu'il aurait pu réaliser sans invalidité. L'Office s'est donc référé à un revenu issu de l'ESS 2006. Cette manière de faire n'est pas critiquable dans la mesure où, conformément à ce qu'à indiqué l'OCAI dans ses observations du 14 juillet 2006, les montants réalisés par le recourant ne permettent pas de déterminer de façon fiable ses revenus sans invalidité. En effet, le recourant n'a exercé son activité de chauffeur indépendant dans le transport de personnes handicapées que durant les années 2000 à 2002. Or durant ses premières années, il est généralement reconnu qu'une entreprise réalise des revenus très faibles, lesquels sont sans comparaison avec le chiffre d'affaires qu'elle pourrait obtenir subséquemment. Enfin, le taux de qualification de niveau 3 retenu, correspondant à des connaissances professionnelles qualifiées, ne prête pas non plus flanc à la critique.</w:t>
      </w:r>
    </w:p>
    <w:p>
      <w:r>
        <w:rPr>
          <w:b/>
        </w:rPr>
        <w:t>E. 13</w:t>
      </w:r>
    </w:p>
    <w:p>
      <w:r>
        <w:t>En outre, on ne voit pas ici dans quelle mesure il pourrait être fait application de la méthode dite extraordinaire de comparaison des revenus. En effet, cette méthode de calcul s'applique, dans les faits, aux personnes indépendantes qui sont encore actives dans leur entreprise mais ne sont plus capable d'effectuer leur activité dans les mêmes proportions qu'avant la survenance de l'atteinte à leur santé. Il convient alors d'examiner dans quelle mesure il peut être exigé de l'assuré qu'il répartisse les tâches effectuées par le passé au sein de son entreprise. Toutefois, dans le cas particulier, le recourant était le seul à travailler dans son entreprise. On voit dès lors mal dans quelle mesure il aurait pu répartir les tâches inhérentes à son activité afin de les adapter en fonction de son handicap. Il est de plus très vraisemblable que le temps consacré au transport de malades était bien supérieur aux tâches administratives pour une petite entreprise individuelle, lesquelles seraient toutefois vraisemblablement adaptées aux limitations fonctionnelles du recourant. Qui plus est, l'entreprise du recourant a été mise en faillite par jugement du 1er juillet 2004.</w:t>
      </w:r>
    </w:p>
    <w:p>
      <w:r>
        <w:rPr>
          <w:b/>
        </w:rPr>
        <w:t>E. 14</w:t>
      </w:r>
    </w:p>
    <w:p>
      <w:r>
        <w:t>Il n'y a dès lors pas lieu de faire application de la méthode extraordinaire d'évaluation des revenus. Ainsi, le calcul de l'OCAI pour déterminer le taux d'invalidité du recourant a été correctement effectué et n'ouvre pas droit à une rente d'invalidité.</w:t>
      </w:r>
    </w:p>
    <w:p>
      <w:r>
        <w:rPr>
          <w:b/>
        </w:rPr>
        <w:t>E. 15</w:t>
      </w:r>
    </w:p>
    <w:p>
      <w:r>
        <w:t>Il sied cependant d'examiner si le recourant peut prétendre à des mesures professionnelles. 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w:t>
      </w:r>
    </w:p>
    <w:p>
      <w:r>
        <w:t>A/229/2009 - 13/15 - professionnelle initiale, reclassement professionnel, service de placement; art. 8 al. 3 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16</w:t>
      </w:r>
    </w:p>
    <w:p>
      <w:r>
        <w:t>Par ailleurs,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w:t>
      </w:r>
    </w:p>
    <w:p>
      <w:r>
        <w:rPr>
          <w:b/>
        </w:rPr>
        <w:t>E. 17</w:t>
      </w:r>
    </w:p>
    <w:p>
      <w:r>
        <w:t>L'art. 18 al. 2 LAI, dans sa nouvelle teneur, ajoute par ailleurs que l'office AI procède à un examen sommaire du cas et met en œuvre ces mesures sans délai si les conditions sont remplies.</w:t>
      </w:r>
    </w:p>
    <w:p>
      <w:r>
        <w:rPr>
          <w:b/>
        </w:rPr>
        <w:t>E. 18</w:t>
      </w:r>
    </w:p>
    <w:p>
      <w:r>
        <w:t>En l’espèce, l'OCAI bien qu'ayant tout d'abord admis que les conditions d'une réorientation professionnelle étaient réalisées, a clôturé le dossier, motivant sa décision uniquement par le fait que l'assuré aurait déclaré ne pas se sentir apte pour</w:t>
      </w:r>
    </w:p>
    <w:p>
      <w:r>
        <w:t>A/229/2009 - 14/15 - une telle mesure. Toutefois, ce dernier, dans son recours du 23 janvier 2009 a conclu subsidiairement à l'octroi de mesures professionnelles. Il convient ainsi de partir du principe qu'il est à présent disposé et motivé - si tel ne devait pas être le cas avant - pour entreprendre de telles mesures, lesquelles ne sont donc a priori pas vouées à l'échec. Par ailleurs, il n'est pas contesté que le recourant n'est plus en mesure de travailler dans son métier initial. Enfin, sa durée de la vie professionnelle étant, en l'espèce, encore longue, il est important de privilégier de telles mesures.</w:t>
      </w:r>
    </w:p>
    <w:p>
      <w:r>
        <w:rPr>
          <w:b/>
        </w:rPr>
        <w:t>E. 19</w:t>
      </w:r>
    </w:p>
    <w:p>
      <w:r>
        <w:t>Il appartiendra ainsi à l'office de mettre en place des mesures d'orientation professionnelle, afin de tester la motivation de l'assuré. Si toutefois, ce dernier ne se conforme pas à ses devoirs, il incombera à l'Office de le mettre en demeure écrite l'avertissant des conséquences juridiques et lui impartissant un délai de réflexion raisonnable à cet effet (art. 21 al. 4 LPGA, 7 I et II let. c LAI).</w:t>
      </w:r>
    </w:p>
    <w:p>
      <w:r>
        <w:rPr>
          <w:b/>
        </w:rPr>
        <w:t>E. 20</w:t>
      </w:r>
    </w:p>
    <w:p>
      <w:r>
        <w:t>Au vu de ce qui précède, le recours sera partiellement admis.</w:t>
      </w:r>
    </w:p>
    <w:p>
      <w:r>
        <w:rPr>
          <w:b/>
        </w:rPr>
        <w:t>E. 21</w:t>
      </w:r>
    </w:p>
    <w:p>
      <w:r>
        <w:t>Le recourant, représenté par une avocate, a droit à l’allocation de dépens, fixés en l'espèce à 1’000 fr. (art. 61 let. g LPGA).</w:t>
      </w:r>
    </w:p>
    <w:p>
      <w:r>
        <w:rPr>
          <w:b/>
        </w:rPr>
        <w:t>E. 22</w:t>
      </w:r>
    </w:p>
    <w:p>
      <w:r>
        <w:t>Conformément à l'art. 69 al. 1bis LAI, un émolument de 500 fr. est mis à la charge de l'intimé, qui succombe.</w:t>
      </w:r>
    </w:p>
    <w:p>
      <w:r>
        <w:t>A/229/2009 - 15/15 -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