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ATAS/1142/2019 vom 10. Dezember 2019</w:t>
      </w:r>
    </w:p>
    <w:p>
      <w:r>
        <w:t>GE Cour de justice, 2019-12-10, FR</w:t>
      </w:r>
    </w:p>
    <w:p>
      <w:r>
        <w:rPr>
          <w:b/>
        </w:rPr>
        <w:t xml:space="preserve">Quelle: </w:t>
      </w:r>
      <w:r>
        <w:t>https://mcp.opencaselaw.ch/entscheid/ge_gerichte_ATAS_1142_2019</w:t>
      </w:r>
    </w:p>
    <w:p>
      <w:r>
        <w:t>FR: GE_GERICHTE ATAS/1142/2019 du 10 décembre 2019</w:t>
      </w:r>
    </w:p>
    <w:p>
      <w:r>
        <w:t>IT: GE_GERICHTE ATAS/1142/2019 del 10 dicembre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4</w:t>
      </w:r>
    </w:p>
    <w:p>
      <w:r>
        <w:t>Le litige porte sur la question de savoir si la recourante est tenue de restituer la somme de CHF 180.- à titre de prestations complémentaires fédérales et cantonales indûment perçues entre le 1er novembre 2018 et le 31 janvier 2019, ainsi que sur le bien-fondé du calcul du droit aux prestations de l’intéressée dès le 1er février 2019.</w:t>
      </w:r>
    </w:p>
    <w:p>
      <w:r>
        <w:rPr>
          <w:b/>
        </w:rPr>
        <w:t>E. 5</w:t>
      </w:r>
    </w:p>
    <w:p>
      <w:r>
        <w:t>Les prestations complémentaires tant fédérales que cantonales sont destinées à couvrir les besoins vitaux des personnes bénéficiaires de rente de l’AVS ou de l’AI, dont les dépenses ne sont pas couvertes par les ressources. Les prestations</w:t>
      </w:r>
    </w:p>
    <w:p>
      <w:r>
        <w:t>A/1451/2019 - 4/7 - complémentaires fédérales sont destinées à couvrir la part des dépenses reconnues qui excède les revenus déterminants (art. 9 al. 1 LPC). Sur le plan cantonal, les prestations correspondent à la différence entre le revenu annuel déterminant et le revenu minimum d’aide sociale (art. 4 LPCC). a. Aux termes de l’art. 10 al. 1 let. b LPC, pour les personnes qui ne vivent pas en permanence ni pour une longue période dans un home ou dans un hôpital (personnes vivant à domicile), les dépenses reconnues comprennent le loyer d’un appartement et les frais accessoires y relatifs. En principe, seul le montant du loyer effectivement payé doit entrer en ligne de compte dans le calcul des prestations complémentaires (arrêts du Tribunal fédéral 8C_259/2008 du 11 août 2008 ; P 58/05 du 9 octobre 2006 consid. 6). Si un contrat de bail a été conclu entre le propriétaire de l’immeuble et l’assuré, et si le loyer brut convenu est effectivement payé, ce loyer est déterminant pour le calcul de la prestation complémentaire annuelle, à moins qu’il n’apparaisse comme majoré de façon manifestement abusive (arrêts du Tribunal fédéral 9C_638/2009 du 12 juillet 2010 consid. 2 ; P 62/00 du 1er juin 2001 consid. 3a). b. S’agissant en revanche des charges locatives, l’art. 10 al. 1 let. b LPC, 2ème phrase, prévoit qu’en cas de présentation d’un décompte final des frais accessoires, ni demande de restitution, ni paiement rétroactif ne peuvent être pris en considération. Cette règle peut être à l’avantage du locataire ou à son détriment suivant que le solde du décompte final est positif ou négatif. C’est la raison pour laquelle il peut être conseillé aux bénéficiaires de prestations complémentaires de faire en sorte que les frais accessoires prévus par le contrat de bail soient plutôt élevés, pour ne pas être contraints de payer au besoin une partie par le biais du montant destiné à la couverture des besoins vitaux. Une modification légale qui consisterait, comme cela a souvent été proposé, à prendre en charge les frais effectifs, par exemple cas d’augmentation des frais de chauffage, n’a pas abouti à ce jour. L’argument est que cette manière de faire contraindrait les organes d’exécution des PC à traiter les décomptes finaux de frais accessoires comme les frais de maladie avec un surcroît administratif considérable à la clé. Elle impliquerait aussi l’obligation pour les bénéficiaires de ristourner aux organes d’exécution des PC les parts d’acomptes trop élevés qu’ils auraient le cas échéant versées. Ce sont donc les impératifs pratiques qui continuent de plaider en faveur du maintien de la solution adoptée à l’art. 10 al. 1 let. b LPC (Michel VALTERIO, Commentaire de la loi fédérale sur les prestations complémentaires à l’AVS et à l’AI, Bâle 2015, n. 36 ad art. 10 LPC ; cf. aussi arrêt du Tribunal fédéral 8C_741/2008 du 17 décembre 2008 ; Ralph JÖHL / Patricia USINGER-EGGER, Ergänzungsleistungen zur AHV/IV, in Ulrich MEYER [éd.], Sécurité sociale, 3ème éd. 2016, n. 72 p. 1760s.).</w:t>
      </w:r>
    </w:p>
    <w:p>
      <w:r>
        <w:rPr>
          <w:b/>
        </w:rPr>
        <w:t>E. 6</w:t>
      </w:r>
    </w:p>
    <w:p>
      <w:r>
        <w:t>Aux termes de l’art. 25 al. 1 1ère phrase LPGA, en relation avec l’art. 2 al. 1 let. a de l’ordonnance sur la partie générale du droit des assurances sociales du</w:t>
      </w:r>
    </w:p>
    <w:p>
      <w:r>
        <w:t>A/1451/2019 - 5/7 -</w:t>
      </w:r>
    </w:p>
    <w:p>
      <w:r>
        <w:rPr>
          <w:b/>
        </w:rPr>
        <w:t>E. 11</w:t>
      </w:r>
    </w:p>
    <w:p>
      <w:r>
        <w:t>septembre 2002 (OPGA; RS 830.11), les prestations indûment touchées doivent être restituées par le bénéficiaire ou par ses héritiers. Au niveau cantonal, l’art. 24 al. 1 1ère phrase LPCC prévoit que les prestations indûment touchées doivent être restituées. Selon la jurisprudence, cela implique que soient réunies les conditions d’une reconsidération (cf. art. 53 al. 2 LPGA) ou d’une révision procédurale (cf. art. 53 al. 1er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134 consid. 2c ; ATF 169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A/1451/2019 - 6/7 - 8. En l’occurrence, il ressort de l’avis de majoration de loyer du 19 mai 2016 que, depuis le 1er juillet 2016, les frais accessoires de la recourante s’élèvent à CHF 1'920.-, soit CHF 160.- par mois, en lieu et place des CHF 1'200.- (soit CHF 100.- par mois) prévus jusqu’à cette date. Ce document, transmis par la recourante à l’intimé le 17 juillet 2017, a entraîné une augmentation des prestations complémentaires de l’intéressée à compter du 1er juillet 2017. Le 8 janvier 2019, se fondant sur un acompte mensuel du mois de novembre 2018, d’où il ressort que la recourante a versé des charges locatives à hauteur de CHF 100.-, l’intimé a réduit le montant des prestations complémentaires de l’intéressée à compter du 1er novembre 2018, invitant la recourante à solliciter une hausse de ses acomptes mensuels auprès de son bailleur. Cette manière de procéder ne saurait être admise. Il est vrai que, comme le relève l’intimé, la réglementation en vigueur pour la prise en charge des dépenses dans le calcul des prestations complémentaires tient en principe compte des acomptes des charges locatives. Elle ne permet, en particulier, pas de se référer au décompte final des frais accessoires, soit les charges effectivement versées par le locataire. C’est la raison pour laquelle il est conseillé aux bénéficiaires de prestations complémentaires de faire en sorte que les frais accessoires prévus par le contrat de bail soient plutôt élevés, pour ne pas être contraints de payer au besoin une partie par le biais du montant destiné à la couverture. Cette manière de faire a été voulue par le législateur afin d’éviter un surcroît administratif considérable (cf. supra consid. 4b). Cependant, contrairement à ce que semble retenir l’intimé, les acomptes des charges locatives ne sauraient servir de référence que dans la mesure où leur montant correspond à celui qui figure dans le contrat de bail et/ou l’avis de majoration. Or, dans le cas présent, l’avis de majoration fixe le montant des frais accessoires à CHF 160.- par mois. C’est ainsi sur la base de ce document que l’intimé devait se fonder pour calculer le montant des prestations complémentaires. Partant, en tenant compte du montant de CHF 100.- figurant dans l’acompte mensuel du mois de novembre 2018 en lieu et place de l’avis de majoration dûment transmis à l’intimé, ce dernier a violé l’art. 10 al. 1 let. b LPC. Le montant prévu dans l’avis de majoration (CHF 160.- par mois) est certes supérieur à celui figurant dans le décompte final des frais accessoires pour l’année 2017 (CHF 139.- par mois). Or, ce résultat – favorable à la bénéficiaire - n’est autre que la conséquence directe de la réglementation voulue par le législateur. 9. Partant, le recours est admis et la décision litigieuse annulée. La recourante n’étant pas représentée, elle n’a pas droit à des dépens (art. 61 let. g LPGA). Pour le surplus, la procédure est gratuite (art. 61 let. a LPGA et art. 89H al. 1 LPA). * * * * * *</w:t>
      </w:r>
    </w:p>
    <w:p>
      <w:r>
        <w:t>A/1451/2019 - 7/7 -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