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ATAS/1142/2012 vom 19. September 2012</w:t>
      </w:r>
    </w:p>
    <w:p>
      <w:r>
        <w:t>GE Cour de justice, 2012-09-19, FR</w:t>
      </w:r>
    </w:p>
    <w:p>
      <w:r>
        <w:rPr>
          <w:b/>
        </w:rPr>
        <w:t xml:space="preserve">Quelle: </w:t>
      </w:r>
      <w:r>
        <w:t>https://mcp.opencaselaw.ch/entscheid/ge_gerichte_ATAS_1142_2012</w:t>
      </w:r>
    </w:p>
    <w:p>
      <w:r>
        <w:t>FR: GE_GERICHTE ATAS/1142/2012 du 19 septembre 2012</w:t>
      </w:r>
    </w:p>
    <w:p>
      <w:r>
        <w:t>IT: GE_GERICHTE ATAS/1142/2012 del 19 settembre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A/1691/2012 3/5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8 octobre 2001, d’autre part le 3 janvier 2012, date à laquelle le jugement de divorce est devenu exécutoire.</w:t>
      </w:r>
    </w:p>
    <w:p>
      <w:r>
        <w:rPr>
          <w:b/>
        </w:rPr>
        <w:t>E. 5</w:t>
      </w:r>
    </w:p>
    <w:p>
      <w:r>
        <w:t>Selon les renseignements recueillis, la prestation acquise pendant le mariage par le demandeur est de 71'814 fr., les intérêts ayant déjà été calculés par l’institution de prévoyance défenderesse, tandis que la demanderesse ne dispose d’aucun avoir de vieillesse. Ainsi le demandeur doit à son ex-épouse le montant de 35'907 fr. (71'814 fr. : 2). Dans la mesure où la demanderesse a omis de communiquer les coordonnés de son compte de libre passage, l'avoir de vieillesse lui revenant sera versé sur un compte à ouvrir auprès de la Fondation Institution supplétive LPP, administration des comptes de libre passage, à Zurich.</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A/1691/2012 4/5</w:t>
      </w:r>
    </w:p>
    <w:p>
      <w:r>
        <w:rPr>
          <w:b/>
        </w:rPr>
        <w:t>E. 7</w:t>
      </w:r>
    </w:p>
    <w:p>
      <w:r>
        <w:t>Aucun émolument ne sera perçu, la procédure étant gratuite (art. 73 al. 2 LPP et 89H al. 1 de la loi sur la procédure administrative du 12 septembre 1985).</w:t>
      </w:r>
    </w:p>
    <w:p>
      <w:r>
        <w:t>A/1691/2012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