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ATAS/1141/2019 vom 10. Dezember 2019</w:t>
      </w:r>
    </w:p>
    <w:p>
      <w:r>
        <w:t>GE Cour de justice, 2019-12-10, FR</w:t>
      </w:r>
    </w:p>
    <w:p>
      <w:r>
        <w:rPr>
          <w:b/>
        </w:rPr>
        <w:t xml:space="preserve">Quelle: </w:t>
      </w:r>
      <w:r>
        <w:t>https://mcp.opencaselaw.ch/entscheid/ge_gerichte_ATAS_1141_2019</w:t>
      </w:r>
    </w:p>
    <w:p>
      <w:r>
        <w:t>FR: GE_GERICHTE ATAS/1141/2019 du 10 décembre 2019</w:t>
      </w:r>
    </w:p>
    <w:p>
      <w:r>
        <w:t>IT: GE_GERICHTE ATAS/1141/2019 del 10 dicembre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t>A/3102/2018 - 11/24 -</w:t>
      </w:r>
    </w:p>
    <w:p>
      <w:r>
        <w:rPr>
          <w:b/>
        </w:rPr>
        <w:t>E. 4</w:t>
      </w:r>
    </w:p>
    <w:p>
      <w:r>
        <w:t>En l’espèce, le litige porte, d’une part, sur le degré d’invalidité du recourant et, plus particulièrement sur les montants pris en considération à titre de revenus et, d’autre part, sur l’atteinte à l’intégrité retenue par l’intimée.</w:t>
      </w:r>
    </w:p>
    <w:p>
      <w:r>
        <w:rPr>
          <w:b/>
        </w:rPr>
        <w:t>E. 5</w:t>
      </w:r>
    </w:p>
    <w:p>
      <w:r>
        <w:t>Aux termes de l'art. 6 LAA, l'assureur-accidents verse des prestations à l'assuré en cas d'accident professionnel, d'accident non professionnel et de maladie professionnelle. Selon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Conformément à l’art. 18 al. 1 LAA, le droit à la rente prend naissance dès qu’il n’y a plus lieu d’attendre de la continuation du traitement médical une sensible amélioration de l’état de l’assuré et que les éventuelles mesures de réadaptation de l’assurance-invalidité ont été menées à terme.</w:t>
      </w:r>
    </w:p>
    <w:p>
      <w:r>
        <w:rPr>
          <w:b/>
        </w:rPr>
        <w:t>E. 6</w:t>
      </w:r>
    </w:p>
    <w:p>
      <w:r>
        <w:t>janvier 2010 et 8C_25/2010 du 21 mai 2010 par exemple).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ATF 126 V 75 consid. 3b/aa et bb ; voir également arrêt du Tribunal fédéral 9C_140/2017 du 18 août 2017 consid. 5.4.1). b/cc. Depuis la 10ème édition des ESS (ESS 2012), les emplois sont classés par l'Office fédéral de la statistique (ci-après :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du Tribunal fédéral 9C_901/2017 du 28 mai 2018 consid. 3.3).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éventuellement d'autres spécialistes, doivent lui fournir. La tâche du médecin consiste à porter un jugement sur l'état de santé et à indiquer dans quelle mesure et pour quelles activités l'assuré est, à ce motif, incapable de travailler. En</w:t>
      </w:r>
    </w:p>
    <w:p>
      <w:r>
        <w:t>A/3102/2018 - 21/24 -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A/3102/2018 - 22/24 -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11</w:t>
      </w:r>
    </w:p>
    <w:p>
      <w:r>
        <w:t>En l’espèce, le recourant souhaite que l’atteinte à l’intégrité soit calculée en fonction du degré d’invalidité. Comme cela ressort des considérants précités, l’importance de l’atteinte à l’intégrité doit être déterminée médicalement en fonction de l’annexe 1 à l’OLAA, voire selon les tables de la CNA, et non selon le degré d’invalidité obtenu après comparaison des revenus. Il ressort des pièces que seul le Dr G______ s’est prononcé sur l’atteinte à l’intégrité du recourant dans son appréciation du 23 mars 2012. Il convient par conséquent d’examiner la valeur probante de ce document. À titre liminaire, la chambre de céans constate que l’appréciation précitée du Dr G______ n’a pas été établie par un spécialiste indépendant, le médecin en question devant être considéré comme un médecin interne à l’intimée. Par ailleurs, son appréciation a été établie sur dossier. Ces éléments ne remettent toutefois pas en question la valeur probante de ladite appréciation pour autant que celle-ci se fonde sur suffisamment de pièces établies suite à un examen clinique de l’assuré, ce qui est le cas en l’espèce, et qu’elle répond aux réquisits jurisprudentiels en matière de valeur probante, ce qu’il convient d’examiner ci-après. En l’occurrence, force est de constater que le rapport du Dr G______ du 23 mars 2012 remplit sur le plan formel toutes les exigences auxquelles la jurisprudence soumet la valeur probante d'un tel document. Il contient un résumé du dossier, une anamnèse détaillée, une appréciation neurologique, le résumé des observations cliniques, ainsi qu’une discussion générale du cas. Ses conclusions, qui résultent d'une analyse complète de la situation médicale, sont claires, bien motivées et convaincantes. Sur le fond, le Dr G______ a considéré que vu les lésions cérébrales structurelles découlant de l’accident, une atteinte à l’intégrité physique et mentale pouvait être observée chez le recourant. Ladite atteinte devait être appréciée conformément à la table 8 de la CNA. Le recourant présentait de légères sous-performances dans trois domaines fonctionnels neuropsychologiques examinés. S’agissant plus particulièrement de la modalité des éléments verbaux, le degré de gravité des atteintes (par rapport à un collectif témoin) était moyen à grave. Cela étant, dans l’atteinte globale, la table 8 permettait de retenir chez le recourant une « atteinte minime à modérée » concernant les séquelles neuropsychologiques des lésions cérébrales accidentelles, évaluée à 35 %. Le médecin-conseil a ensuite expliqué</w:t>
      </w:r>
    </w:p>
    <w:p>
      <w:r>
        <w:t>A/3102/2018 - 23/24 - pour quels motifs il ne retenait ni une atteinte minime ni une atteinte modérée, mais une atteinte minime à modérée. Les explications du Dr G______ sont convaincantes et ne sont au demeurant contredites par aucune autre appréciation médicale. Dans ces circonstances, il n’y a pas lieu de revoir le pourcentage retenu par le médecin précité. Le recours est par conséquent mal fondé sur ce point.</w:t>
      </w:r>
    </w:p>
    <w:p>
      <w:r>
        <w:rPr>
          <w:b/>
        </w:rPr>
        <w:t>E. 12</w:t>
      </w:r>
    </w:p>
    <w:p>
      <w:r>
        <w:t>Au vu de ce qui précède, le recours sera partiellement admis. La décision sur opposition du 25 juillet 2018 sera annulée en tant qu’elle reconnaît une rente de 26 %. Conformément aux considérants qui précèdent, le recourant sera mis au bénéfice d’une rente de 32 %. Le recourant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a LPGA). * * * * * *</w:t>
      </w:r>
    </w:p>
    <w:p>
      <w:r>
        <w:t>A/3102/2018 - 24/24 -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