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ATAS/1140/2012 vom 19. September 2012</w:t>
      </w:r>
    </w:p>
    <w:p>
      <w:r>
        <w:t>GE Cour de justice, 2012-09-19, FR</w:t>
      </w:r>
    </w:p>
    <w:p>
      <w:r>
        <w:rPr>
          <w:b/>
        </w:rPr>
        <w:t xml:space="preserve">Quelle: </w:t>
      </w:r>
      <w:r>
        <w:t>https://mcp.opencaselaw.ch/entscheid/ge_gerichte_ATAS_1140_2012</w:t>
      </w:r>
    </w:p>
    <w:p>
      <w:r>
        <w:t>FR: GE_GERICHTE ATAS/1140/2012 du 19 septembre 2012</w:t>
      </w:r>
    </w:p>
    <w:p>
      <w:r>
        <w:t>IT: GE_GERICHTE ATAS/1140/2012 del 19 settembre 2012</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interjeté dans les forme et délai légaux de sorte qu'il est recevable (art. 56ss LPGA).</w:t>
      </w:r>
    </w:p>
    <w:p>
      <w:r>
        <w:rPr>
          <w:b/>
        </w:rPr>
        <w:t>E. 3</w:t>
      </w:r>
    </w:p>
    <w:p>
      <w:r>
        <w:t>Le litige porte sur le montant et le calcul des prestations complémentaires fédérales et cantonales, en particulier sur l'existence d'un dessaisissement.</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w:t>
      </w:r>
    </w:p>
    <w:p>
      <w:r>
        <w:t>A/601/2012 - 9/16 -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Selon l'art. 2 al. 4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w:t>
      </w:r>
    </w:p>
    <w:p>
      <w:r>
        <w:rPr>
          <w:b/>
        </w:rPr>
        <w:t>E. 5</w:t>
      </w:r>
    </w:p>
    <w:p>
      <w:r>
        <w:t>Au niveau fédéral, les revenus déterminants comprennent, notamment, le produit de la fortune mobilière et immobilière (art. 11 al. 1 let. b LPC), un dixième de la fortune nette dans la mesure où elle dépasse 37’500 fr. pour un célibataire bénéficiaire d'une rente de vieillesse (art. 11 al. 1 let. c LPC), les rentes, pensions et autres prestations périodiques, y compris les rentes de l’AVS et de l’AI (art. 11 al. 1 let. d LPC), et les ressources et parts de fortune dont un ayant droit s’est dessaisi (art. 11 al. 1 let. g LPC). Dans sa teneur en force jusqu'au 31 décembre 2010, l'art. 11 al. 1 let. c LPC prévoyait que pouvait être retenu à titre de revenu déterminant le dixième de la fortune nette dans la mesure où elle dépassait 25'000 fr. pour les personnes seules bénéficiaires d'une rente de vieillesse. Sur le plan cantonal, la LPCC renvoie à la réglementation fédérale pour le calcul du revenu déterminant, sous réserve notamment de l'adaptation suivante. En vertu de l'art. 5 let. c ch. 1 LPCC, la part de la fortune nette prise en compte dans le calcul du revenu déterminant est de un huitième, respectivement de un cinquième pour les bénéficiaires de rentes de vieillesse, et ce après déduction des franchises prévues par cette disposition.</w:t>
      </w:r>
    </w:p>
    <w:p>
      <w:r>
        <w:rPr>
          <w:b/>
        </w:rPr>
        <w:t>E. 6</w:t>
      </w:r>
    </w:p>
    <w:p>
      <w:r>
        <w:t>Conformément à l'art. 11 al. 1 let. g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consid. 4b). Ces deux conditions ne sont pas cumulatives (ATF 131 V 329 consid. 4.3).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ainsi considéré qu'il n'y avait pas dessaisissement dans le cas</w:t>
      </w:r>
    </w:p>
    <w:p>
      <w:r>
        <w:t>A/601/2012 - 10/16 - d'une assurée ayant épuisé sa fortune après avoir vécu dans un certain luxe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Il y a lieu de prendre en compte dans le revenu déterminant tout dessaisissement sans limite de temps (Pierre FERRARI, Dessaisissement volontaire et prestations complémentaires à l'AVS/AI in RSAS 2002, p. 420). Toutefois, selon l'art. 17a de l'ordonnance sur les prestations complémentaires à l'assurance-vieillesse, survivants et invalidité (OPC-AVS/AI; RS 831.301),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Conformément à cette disposition, il faut qu'une année civile entière au moins se soit écoulée entre le moment où l'assuré a renoncé à des parts de fortune et le premier amortissement de fortune (JÖHL, op. cit., p. 1816 n. 247).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8</w:t>
      </w:r>
    </w:p>
    <w:p>
      <w:r>
        <w:t>En l'espèce, il convient de relever que le fait de retirer un capital déposé sur un compte bancaire pour le conserver à son domicile ne constitue pas un dessaisissement, puisque l'assuré en garde la disposition. C'est ce que la recourante affirme avoir fait en l'occurrence. Si une simple allégation de partie ne permet pas de considérer qu'un fait est démontré au degré de la vraisemblance prépondérante, d'autres éléments permettent ici de corroborer cette déclaration. En effet, de 2006 à 2011, la recourante a vécu sans autre rentrées financières qu'une maigre rente de vieillesse, additionnée dès 2009 d'une rente roumaine. Ces revenus ne couvraient pas ses dépenses, comme cela résulte de ce qui suit.</w:t>
      </w:r>
    </w:p>
    <w:p>
      <w:r>
        <w:t>A/601/2012 - 11/16 -</w:t>
      </w:r>
    </w:p>
    <w:p>
      <w:r>
        <w:rPr>
          <w:b/>
        </w:rPr>
        <w:t>E. 9</w:t>
      </w:r>
    </w:p>
    <w:p>
      <w:r>
        <w:t>a) Pour 2006, la recourante a dûment établi par pièces des frais de 63'082 fr. 20, décomposés ainsi: loyer, 24'000 fr.; assurance-maladie et accidents, 14'325, selon les éléments retenus par l'administrations fiscale cantonale; assurance véhicule, 705 fr. 70; redevances (Billag), 900 fr. 80, facture La Tour SA: 17 fr. 40; impôts, 22'612 fr. 40; Electrolux, 335 fr. 50; cotisation TCS, 186 fr. Concernant les primes d'assurance-maladie et accidents, ainsi que les frais médicaux, il convient de se fonder sur les données résultant de la taxation de la recourante et non pas sur les dépenses effectuées, le frais médicaux étant en principe remboursés par l'assurance obligatoire des soins, à l'exception de la franchise et de la participation aux coûts. Or, la recourante n'a pas fourni les décomptes de remboursement de sa caisse-maladie. Il faut encore ajouter à ces dépenses le forfait pour les besoins personnels. La recourante ayant eu sa mère à charge en 2006, il convient d'appliquer le montant pour deux personnes, qui était de 35'216 fr. selon l'art. 3 du règlement d'application de la loi sur les prestations cantonales complémentaires à l'assurance-vieillesse et survivants et à l'assurance-invalidité du 25 juin 1999 (RPCC ; RSG J 7 15.01) dans sa teneur du 1er janvier 2005 au 19 février 2007. Le montant total des dépenses à couvrir était ainsi de 98'298 fr. 80 et le découvert de 84'856 fr. 80 après imputation de la rente de vieillesse de 13'442 fr. b) En 2007, les dépenses se montent à 36'604 fr. 50, décomposées comme suit: loyer, 24'000 fr., assurance-maladie, 8'674 fr.; assurance véhicule, 705 fr. 70, Service des automobiles, 325 fr. 30; Fust, 99 fr.; redevances (Billag), 574 fr. 60; impôts 1'688 fr.; Tapernoux 443 fr. 90; cotisation TCS 93 fr. Avec le montant des besoins personnels de 24'134 fr. pour une personne seule selon l'art. 3 RPCC dans sa teneur en force au 1er janvier 2007, les dépenses sont de 60'738 fr. 50. Le découvert est ainsi de 45'666 fr. 50, après déduction de la rente de vieillesse de 15'072 fr. c) En 2008, la recourante a consacré 24'000 fr. à son loyer, 8'702 fr. à ses frais de caisse-maladie, 705 fr. 70 à son assurance véhicule; 924 fr. aux redevances (Billag); 440 fr. à l'entretien de la tombe; 93 fr. a sa cotisation TCS; 3'851 fr. 65 à ses impôts et 180 fr. à ses frais de parking, soit 38'896 fr. 35 en tout, qui cumulés au forfait pour les besoins personnels de 24'134 fr. selon l'art. 3 RPCC dans sa teneur au 1er janvier 2008, s'élèvent à 63'030 fr. 35. Il reste un montant de 47'958 fr. 35 à couvrir après déduction de la rente de vieillesse de 15'072 fr. d) Pour 2009, les dépenses s'élèvent à 34'366 fr., soit 24'000 fr. de loyer, 7'608 fr.de caisse-maladie; 924 fr. pour Billag; 705 fr. 70 pour l'assurance véhicule; 325 fr. 30 pour le service des automobiles, 440 fr. pour l'entretien de la tombe, 90 fr. pour une facture due à son bailleur, 93 fr. pour la cotisation TCS et 180 fr. pour le parking. Il convient d'y ajouter le forfait pour besoins personnels de 24'906 fr. selon</w:t>
      </w:r>
    </w:p>
    <w:p>
      <w:r>
        <w:t>A/601/2012 - 12/16 - l'art. 3 RPCC, ce qui porte le total des dépenses à 59'272 fr. La recourante bénéficiait pour couvrir ses dépenses de sa rente de vieillesse de 15'540 fr. ainsi que d'une rente roumaine d'un montant de 697 lei 50 par mois. Pour convertir cette rente, il convient de se référer au chiffre 2087.1 des Directives concernant les prestations complémentaires à l’AVS et à l’AI (DPC) de l’OFFICE FEDERAL DES ASSURANCES SOCIALES (OFAS) dans leur teneur au 1er janvier 2010, qui prévoit que pour les rentes et pensions versées en devises d’États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La Commission administrative des communautés européennes pour la sécurité sociale de travailleurs migrants a fixé les taux de conversion suivants pour le leu roumain: 40 centimes suisses en janvier 2009 (Journal officiel de l’Union européenne 2008/C 282/05) ; 35 centimes suisses en janvier 2010 (Journal officiel de l’Union européenne 2009/C 264/06) et 31 centimes suisses en janvier 2011 (Journal officiel de l’Union européenne 2010/C 300/04). Ainsi, la rente roumaine correspond pour 2009 à 8370 lei, soit 3'348 fr. Le découvert après déduction des revenus est ainsi de 40'384 fr. e) En 2010, la recourante a dû s'acquitter d'un loyer de 25'050 fr., de factures de caisse-maladie de 7'860 fr., de 934 fr. pour ses redevances (Billag), de 627 fr. 70 pour son assurance véhicule, de 332 fr. 70 pour le Service automobiles, de 399 fr. chez Conforama, de 440 fr. pour l'entretien de la tombe et de 93 fr. à titre de cotisation au TCS. Les dépenses prouvées se montent ainsi à 35'736 fr. 40. Le forfait pour besoins personnels de 24'906 fr. s'ajoute à cette somme pour parvenir à un total de 60'642 fr. 40. La recourante disposait pour la couvrir de la rente de vieillesse suisse de 15'540 fr. et de la rente roumaine d'une valeur de conversion de 2'930 fr. Il lui restait ainsi à couvrir un montant de 42'172 fr. 40. f) Les dépenses prouvées de la recourante s'élèvent ainsi à 261'038 fr. 05 de 2006 à 2010, alors que les sommes perçus des 2ème et 3ème piliers sont de 261'862 fr. (19'188 fr. le 29 janvier 2004, 14'995 fr. en février 2004, 6'878 fr. en septembre 2005, 94'7009 fr. en décembre 2005 et 126'092 fr. en août 2006). Compte tenu de la disparité entre les rentes et les frais de la recourante, il est invraisemblable que celle-ci ait pu assurer sa subsistance pendant quatre ans sans fortune correspondante. C'est d'ailleurs en février 2011, après avoir encouru les dépenses précitées - dont le montant est quasiment identique au capital provenant de ses deuxième et troisième piliers - que la recourante a sollicité le versement de prestations complémentaires. Tous ces éléments concourent à démontrer au degré de la vraisemblance prépondérante que la fortune de la recourante n'a pas été aliénée sans contre-prestation, mais qu'elle a bien été retirée de son compte bancaire pour être conservée à son domicile puis dévolue à son entretien.</w:t>
      </w:r>
    </w:p>
    <w:p>
      <w:r>
        <w:t>A/601/2012 - 13/16 - Ainsi, l'intimé n'était pas fondé à considérer que la recourante s'était dessaisie ses capitaux de prévoyance professionnelle. En revanche, la jurisprudence a précisé que la prise en compte dans le calcul des prestations complémentaires d'un revenu hypothétique de la fortune n'intervient pas seulement en cas de dessaisissement simultané de la part de fortune en question et que le bénéficiaire qui conserve à domicile un capital d'une certaine importance est réputé avoir renoncé à des éléments du revenu déterminant (VSI 1997 p. 264, consid. 3b). Il y aura dès lors lieu de tenir compte dans le calcul des prestations complémentaires des intérêts sur la fortune auxquels la recourante a renoncé en gardant ses deniers à domicile.</w:t>
      </w:r>
    </w:p>
    <w:p>
      <w:r>
        <w:rPr>
          <w:b/>
        </w:rPr>
        <w:t>E. 10</w:t>
      </w:r>
    </w:p>
    <w:p>
      <w:r>
        <w:t>Reste à examiner si la recourante peut prétendre à des prestations complémentaires cantonales compte tenu de l'art. 2 al. 4 LPCC, qui exclut le droit aux prestations complémentaires cantonales pour les assurés qui n'ont pas consacré le capital de leur prévoyance professionnelle à un but de prévoyance. a) Le Tribunal cantonal des assurances sociales et la Cour de céans ont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(ATAS/755/2005 et ATAS/828/2012).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b) En l'espèce, il convient dès lors d'examiner quels étaient les besoins vitaux de la recourante de 2006 à 2010. A cet égard, la Cour de céans admettra, pour 2006, que la recourante avait à charge sa mère et appliquera le barème pour deux personnes, puis dès 2007, le barème pour une personne. Le calcul est le suivant: 2006 Barème PCC</w:t>
      </w:r>
    </w:p>
    <w:p>
      <w:r>
        <w:t>35'216' fr. Loyer (max. admis selon art. 4 al. 1 aRPCC)</w:t>
      </w:r>
    </w:p>
    <w:p>
      <w:r>
        <w:t>13'200 fr.</w:t>
      </w:r>
    </w:p>
    <w:p>
      <w:r>
        <w:t>A/601/2012 - 14/16 - Assurance-maladie et accidents</w:t>
      </w:r>
    </w:p>
    <w:p>
      <w:r>
        <w:t>14'325 fr. Billag</w:t>
      </w:r>
    </w:p>
    <w:p>
      <w:r>
        <w:t>450 fr. 40 Total</w:t>
      </w:r>
    </w:p>
    <w:p>
      <w:r>
        <w:t>63'191 fr. 40</w:t>
      </w:r>
    </w:p>
    <w:p>
      <w:r>
        <w:t>2007 Barème PCC</w:t>
      </w:r>
    </w:p>
    <w:p>
      <w:r>
        <w:t>24'134' fr. Loyer (max. admis selon art. 4 al. 1 aRPCC)</w:t>
      </w:r>
    </w:p>
    <w:p>
      <w:r>
        <w:t>13'200 fr. Assurance-maladie et accidents</w:t>
      </w:r>
    </w:p>
    <w:p>
      <w:r>
        <w:t>8'674 fr. Billag (chaînes publiques)</w:t>
      </w:r>
    </w:p>
    <w:p>
      <w:r>
        <w:t>459 fr. 10 Total</w:t>
      </w:r>
    </w:p>
    <w:p>
      <w:r>
        <w:t>52'118 fr. 10</w:t>
      </w:r>
    </w:p>
    <w:p>
      <w:r>
        <w:t>2008 Barème PCC</w:t>
      </w:r>
    </w:p>
    <w:p>
      <w:r>
        <w:t>24'134' fr. Loyer (max. admis selon art. 10 al. 1 LPC)</w:t>
      </w:r>
    </w:p>
    <w:p>
      <w:r>
        <w:t>13'200 fr. Assurance-maladie et accidents</w:t>
      </w:r>
    </w:p>
    <w:p>
      <w:r>
        <w:t>8'702 fr. Billag</w:t>
      </w:r>
    </w:p>
    <w:p>
      <w:r>
        <w:t>462 fr. Total</w:t>
      </w:r>
    </w:p>
    <w:p>
      <w:r>
        <w:t>46'498 fr.</w:t>
      </w:r>
    </w:p>
    <w:p>
      <w:r>
        <w:t>2009 Barème PCC</w:t>
      </w:r>
    </w:p>
    <w:p>
      <w:r>
        <w:t>24'906 fr. Loyer (max. admis selon art. 10 al. 1 LPC)</w:t>
      </w:r>
    </w:p>
    <w:p>
      <w:r>
        <w:t>13'200 fr. Assurance-maladie et accidents</w:t>
      </w:r>
    </w:p>
    <w:p>
      <w:r>
        <w:t>5'473 fr. 55 Billag</w:t>
      </w:r>
    </w:p>
    <w:p>
      <w:r>
        <w:t>462 fr. Total</w:t>
      </w:r>
    </w:p>
    <w:p>
      <w:r>
        <w:t>44'041 fr. 55</w:t>
      </w:r>
    </w:p>
    <w:p>
      <w:r>
        <w:t>A/601/2012 - 15/16 -</w:t>
      </w:r>
    </w:p>
    <w:p>
      <w:r>
        <w:t>2010 Barème PCC</w:t>
      </w:r>
    </w:p>
    <w:p>
      <w:r>
        <w:t>24'906 fr. Loyer (partage du loyer pendant 3 mois avec 2 personnes ) 11'512 fr. 50 Assurance-maladie et accidents</w:t>
      </w:r>
    </w:p>
    <w:p>
      <w:r>
        <w:t>7'860 fr Billag</w:t>
      </w:r>
    </w:p>
    <w:p>
      <w:r>
        <w:t>462 fr. Total</w:t>
      </w:r>
    </w:p>
    <w:p>
      <w:r>
        <w:t>44'740 fr. 50</w:t>
      </w:r>
    </w:p>
    <w:p>
      <w:r>
        <w:t>Le total des besoins vitaux de 2006 à 2010 s'élève ainsi à 250'589 fr. 55. Ce montant n'est que légèrement inférieur aux avoirs de prévoyance de 261'862 fr. touchés par la recourante. Cette différence n'a pas d'incidence sur ses revenus déterminants, seuls les 10% de la fortune dépassant 37'500 fr. étant pris en compte à ce titre. Partant, il ne peut être reproché à la recourante d'avoir utilisé les avoirs de prévoyance professionnelle à d'autres fins que celle de la prévoyance, de sorte qu'elle a également droit à des prestations complémentaires cantonales.</w:t>
      </w:r>
    </w:p>
    <w:p>
      <w:r>
        <w:rPr>
          <w:b/>
        </w:rPr>
        <w:t>E. 11</w:t>
      </w:r>
    </w:p>
    <w:p>
      <w:r>
        <w:t>Eu égard à ce qui précède, le recours doit être admis. Le dossier sera dès lors renvoyé à l'intimé afin que celui-ci procède au calcul des prestations complémentaires fédérales et cantonales au sens des considérants.</w:t>
      </w:r>
    </w:p>
    <w:p>
      <w:r>
        <w:rPr>
          <w:b/>
        </w:rPr>
        <w:t>E. 12</w:t>
      </w:r>
    </w:p>
    <w:p>
      <w:r>
        <w:t>La recourante, qui obtient gain de cause, a droit à une indemnité à titre de dépens qu'il convient en l'espèce de fixer à 2'000 fr. (art. 61 let. g LPGA).</w:t>
      </w:r>
    </w:p>
    <w:p>
      <w:r>
        <w:t>A/601/2012 - 16/16 - PAR CES MOTIFS, LA CHAMBRE DES ASSURANCES SOCIALES : Statuant A la forme : 1. Déclare le recours recevable. Au fond : 2. L'admet. 3. Annule les décisions de l'intimé du 21 juillet et du 19 décembre 2011. 4. Met la recourante au bénéfice de prestations complémentaires fédérales et cantonales. 5. Renvoie le dossier à l'intimé pour calcul des prestations complémentaires fédérales et cantonales au sens des considérants. 6. Condamne l'intimé à verser à la recourante une indemnité de 2'000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