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ATAS/1139/2013 vom 15. November 2013</w:t>
      </w:r>
    </w:p>
    <w:p>
      <w:r>
        <w:t>GE Cour de justice, 2013-11-15, FR</w:t>
      </w:r>
    </w:p>
    <w:p>
      <w:r>
        <w:rPr>
          <w:b/>
        </w:rPr>
        <w:t xml:space="preserve">Quelle: </w:t>
      </w:r>
      <w:r>
        <w:t>https://mcp.opencaselaw.ch/entscheid/ge_gerichte_ATAS_1139_2013</w:t>
      </w:r>
    </w:p>
    <w:p>
      <w:r>
        <w:t>FR: GE_GERICHTE ATAS/1139/2013 du 15 novembre 2013</w:t>
      </w:r>
    </w:p>
    <w:p>
      <w:r>
        <w:t>IT: GE_GERICHTE ATAS/1139/2013 del 15 novembre 2013</w:t>
      </w:r>
    </w:p>
    <w:p>
      <w:pPr>
        <w:pStyle w:val="Heading2"/>
      </w:pPr>
      <w:r>
        <w:t>Erwägungen</w:t>
      </w:r>
    </w:p>
    <w:p>
      <w:r>
        <w:rPr>
          <w:b/>
        </w:rPr>
        <w:t>E. 1</w:t>
      </w:r>
    </w:p>
    <w:p>
      <w:r>
        <w:t>Selon l’art. 89 al. 1 de la loi fédérale sur l’assurance-maladie du 18 mars 1994 (LAMal ; RS 832.10), les litiges entre assureurs et fournisseurs sont jugés par le Tribunal arbitral.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 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 sociale a certes été alléguée. Il résulte toutefois de l'extrait du Registre du commerce du canton de Zurich qu'à la date déterminante du dépôt de la demande en paiement, cet assureur poursuivait son but notamment dans le domaine de la</w:t>
      </w:r>
    </w:p>
    <w:p>
      <w:r>
        <w:t>A/1762/2011 - 5/11 - LAMal par le biais de filiales, et ce depuis le 13 novembre 2003, de sorte que sa qualité d'assureur doit également être admise. Le litige a par ailleurs pour objet principalement le paiement d'intérêts moratoires sur le montant de 1'572 fr. facturé au titre de coûts de prestations fournies dans le cadre de l'assurance obligatoire des soins par le demandeur, lequel est installé à titre permanent à Genève. La compétence ratione materiae et loci du Tribunal de céans est par conséquent établie.</w:t>
      </w:r>
    </w:p>
    <w:p>
      <w:r>
        <w:rPr>
          <w:b/>
        </w:rPr>
        <w:t>E. 2</w:t>
      </w:r>
    </w:p>
    <w:p>
      <w:r>
        <w:t>Les demandes respectant la forme prescrite par l'art. 89 B de la loi sur la procédure administrative du 12 septembre 1985 (LPA, RS E 5 10; art. 45 al. 4 LaLAMal), elles seront déclarées recevables.</w:t>
      </w:r>
    </w:p>
    <w:p>
      <w:r>
        <w:rPr>
          <w:b/>
        </w:rPr>
        <w:t>E. 3</w:t>
      </w:r>
    </w:p>
    <w:p>
      <w:r>
        <w:t>Par le dépôt de ses demandes en paiement, le demandeur prétend notamment au versement par les défenderesses I et II des intérêts moratoires sur la somme de 1'572 fr. facturée le 24 août 2006 ainsi qu'au remboursement des frais d'encaissement.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 au titre de l'assurance obligatoire des soins (facture n° H111434861).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w:t>
      </w:r>
    </w:p>
    <w:p>
      <w:r>
        <w:t>A/1762/2011 - 6/11 - Partant, en tant que la demande en paiement est dirigée à l'encontre de la défenderesse II, elle doit être rejetée.</w:t>
      </w:r>
    </w:p>
    <w:p>
      <w:r>
        <w:rPr>
          <w:b/>
        </w:rPr>
        <w:t>E. 4</w:t>
      </w:r>
    </w:p>
    <w:p>
      <w:r>
        <w:t>Il convient d'examiner si le demandeur est fondé à requérir de la part de la défenderesse I le paiement d'intérêts moratoires de 5% sur la somme de 1'572 fr. facturée le 24 août 2006 et acquittée le 17 mai 2011, cette date ayant été admise par les deux parties.</w:t>
      </w:r>
    </w:p>
    <w:p>
      <w:r>
        <w:rPr>
          <w:b/>
        </w:rPr>
        <w:t>E. 5</w:t>
      </w:r>
    </w:p>
    <w:p>
      <w:r>
        <w:t>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Du 1er janvier 2009 au 31 décembre 2011, les parties étaient liées par la Convention en cas d'hospitalisation en division commune en soins aigus somatiques des HUG (ci-après la Convention), laquelle prévoyait notamment que la facture est payée dans les 30 jours après réception (art. 16 al. 1). A réception de la facture, si celle-ci fait l'objet d'une contestation, l'assureur en informe les HUG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les HUG perçoivent des intérêts moratoires de 5%, dès le 46ème jour, cas en suspens exceptés (al. 3). En cas de non paiement des primes et des participations aux coûts, la suspension des prestations intervient conformément à l'art. 64a LAMal (al. 4). L'art. 64a LAMal, dans sa teneur en vigueur du 1er janvier 2006 au 31 décembre 2011, prévoyait notamment en cas de non paiement des primes et des participations aux coûts, la suspension par l'assureur de la prise en charge des coûts des prestations jusqu'à ce que les primes ou les participations aux coûts arriérées ainsi</w:t>
      </w:r>
    </w:p>
    <w:p>
      <w:r>
        <w:t>A/1762/2011 - 7/11 -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w:t>
      </w:r>
    </w:p>
    <w:p>
      <w:r>
        <w:rPr>
          <w:b/>
        </w:rPr>
        <w:t>E. 6</w:t>
      </w:r>
    </w:p>
    <w:p>
      <w:r>
        <w:t>En l'occurrence, il résulte des pièces versées au dossier que la défenderesse I n'a pas procédé au paiement de la facture datée du 24 août 2006 au motif que les prestations en faveur de l'assuré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Il s'ensuit que la défenderesse I était donc fondée, pendant toute cette période, à surseoir au paiement de la facture du 24 août 2006 établie par le demandeur pour les soins prodigués à l'assuré pour un montant de 1'572 fr.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il est admis par les parties que le paiement a été effectué le 17 mai 2011, soit plus de 50 jours après le 15 mars 2011, de sorte que le demandeur a droit à des intérêts moratoires sur le montant de 1'572 fr. dès le 46ème jour à compter du 15 mars 2011 (art. 16 al. 3 de la Convention), soit dès le 30 avril 2011. Par conséquent, la défenderesse I doit verser 3 fr. 85 en faveur du demandeur à titre d'intérêts moratoires de 5% sur le montant de 1'572 fr. pour la période du 30 avril au 17 mai 2011 (soit 5% sur 1'572 fr. durant 18 jours).</w:t>
      </w:r>
    </w:p>
    <w:p>
      <w:r>
        <w:rPr>
          <w:b/>
        </w:rPr>
        <w:t>E. 7</w:t>
      </w:r>
    </w:p>
    <w:p>
      <w:r>
        <w:t>Le demandeur prétend également au remboursement de 190 fr. à titre de frais d'encaissement. S'agissant des frais administratifs,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w:t>
      </w:r>
    </w:p>
    <w:p>
      <w:r>
        <w:t>A/1762/2011 - 8/11 -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1'572 fr. en faveur du demandeur n'était pas exigible avant la mi-avril 2011, soit plus précisément dès le 31ème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w:t>
      </w:r>
    </w:p>
    <w:p>
      <w:r>
        <w:rPr>
          <w:b/>
        </w:rPr>
        <w:t>E. 8</w:t>
      </w:r>
    </w:p>
    <w:p>
      <w:r>
        <w:t>Le demandeur conclut également à la mainlevée de l'opposition faite au commandement de payer poursuite n° __________ adressé à la défenderesse I. Dans la mesure où la créance principale de 1'572 fr. a été dûment acquittée et que les frais d'encaissement de 190 fr. réclamés ne sont pas dus par la défenderesse I, reste à examiner si le Tribunal de céans peut prononcer la mainlevée de l'opposition à la poursuite précitée à concurrence du montant de 3 fr. 85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w:t>
      </w:r>
    </w:p>
    <w:p>
      <w:r>
        <w:t>A/1762/2011 - 9/11 -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w:t>
      </w:r>
    </w:p>
    <w:p>
      <w:r>
        <w:rPr>
          <w:b/>
        </w:rPr>
        <w:t>E. 9</w:t>
      </w:r>
    </w:p>
    <w:p>
      <w:r>
        <w:t>En l'occurrence, la notification du commandement de payer a eu lieu le 9 février 2011, date à laquelle la créance principale n'était pas encore exigible, de sorte que les intérêts moratoires sur cette créance ne l'étaient pas non plus. Compte tenu de ce qui précède, la mainlevée définitive de l'opposition faite au commandement de payer poursuite n° ___________ engagée à l'encontre de la défenderesse I ne sera pas être prononcée.</w:t>
      </w:r>
    </w:p>
    <w:p>
      <w:r>
        <w:rPr>
          <w:b/>
        </w:rPr>
        <w:t>E. 10</w:t>
      </w:r>
    </w:p>
    <w:p>
      <w:r>
        <w:t>Pour les motifs qui précèdent, il y a lieu d'admettre très partiellement la demande, et de condamner la défenderesse I au paiement de 3 fr. 85.</w:t>
      </w:r>
    </w:p>
    <w:p>
      <w:r>
        <w:rPr>
          <w:b/>
        </w:rPr>
        <w:t>E. 11</w:t>
      </w:r>
    </w:p>
    <w:p>
      <w:r>
        <w:t>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49 consid. 4a) En l'occurrence, dans la mesure où le demandeur n'obtient que très partiellement gain de cause et que, de surcroît, les demandes en paiement portaient principalement sur le versement du montant de 1'572 fr., alors que cette somme était déjà en mains du demandeur lorsqu'il a déposé les actes auprès du Tribunal de céans le 8 juin 2011, il n'y a pas lieu de lui octroyer des dépens.</w:t>
      </w:r>
    </w:p>
    <w:p>
      <w:r>
        <w:t>A/1762/2011 - 10/11 -</w:t>
      </w:r>
    </w:p>
    <w:p>
      <w:r>
        <w:rPr>
          <w:b/>
        </w:rPr>
        <w:t>E. 12</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Les frais du Tribunal, par 410 fr., et un émolument de 800 fr., seront mis à la charge du demandeur.</w:t>
      </w:r>
    </w:p>
    <w:p>
      <w:r>
        <w:t>A/1762/2011 - 11/11 -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