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ATAS/1139/2011 vom 24. November 2011</w:t>
      </w:r>
    </w:p>
    <w:p>
      <w:r>
        <w:t>GE Cour de justice, 2011-11-24, FR</w:t>
      </w:r>
    </w:p>
    <w:p>
      <w:r>
        <w:rPr>
          <w:b/>
        </w:rPr>
        <w:t xml:space="preserve">Quelle: </w:t>
      </w:r>
      <w:r>
        <w:t>https://mcp.opencaselaw.ch/entscheid/ge_gerichte_ATAS_1139_2011</w:t>
      </w:r>
    </w:p>
    <w:p>
      <w:r>
        <w:t>FR: GE_GERICHTE ATAS/1139/2011 du 24 novembre 2011</w:t>
      </w:r>
    </w:p>
    <w:p>
      <w:r>
        <w:t>IT: GE_GERICHTE ATAS/1139/2011 del 24 novembre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w:t>
      </w:r>
    </w:p>
    <w:p>
      <w:r>
        <w:t>A/3894/2010 - 7/11 - l’assuré (art. 58 al. 1 LPGA). Les délais fixés par la loi ne courent pas du 15 décembre au 15 janvier inclusivement (art. 38 al. 4 LPGA). S’agissant des prestations complémentaire cantonales, l’art 43 de la loi du 25 octobre 1968 sur les prestations cantonales complémentaires à l’assurance- vieillesse et survivants et à l’assurance-invalidité (ci-après : LPCC) ouvre les mêmes voies de droit. En l’espèce, le recours a été déposé dans les forme et délai imposés par la loi, de sorte qu’il est recevable (art. 9 LPCF, art. 38 al. 4, 56 al. 1 et 61 al. 1 LPGA; art. 43 LPCC).</w:t>
      </w:r>
    </w:p>
    <w:p>
      <w:r>
        <w:rPr>
          <w:b/>
        </w:rPr>
        <w:t>E. 3</w:t>
      </w:r>
    </w:p>
    <w:p>
      <w:r>
        <w:t>L'objet du litige se limite à la question de savoir si la décision en restitution du SPC est intervenue en temps utile - le fait que les prestations aient été versées à tort n’est en effet pas contesté, pas plus que leur montant -, étant précisé que les arguments concernant la bonne foi et la situation financière difficile de la recourante - relatifs à la demande de remise de l’obligation de restituer - ne seront cas échéant examinés qu’ultérieurement par le SPC et feront l’objet d'une nouvelle décision sujette à recours.</w:t>
      </w:r>
    </w:p>
    <w:p>
      <w:r>
        <w:rPr>
          <w:b/>
        </w:rPr>
        <w:t>E. 4</w:t>
      </w:r>
    </w:p>
    <w:p>
      <w:r>
        <w:t>En vertu de l'art. 2 al.1 LPC, les ressortissants suisses qui ont leur domicile et leur résidence habituelle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a) Les revenus déterminants au sens de l'art. 3a al. 1 LPC comprennent notamment le produit de la fortune mobilière et immobilière ainsi que les rentes, pensions et autres prestations périodiques, y compris les rentes de l'AVS et de l'AI (art. 3c al. 1 let. b et d LPC).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b) S’agissant des prestations complémentaires cantonales, l’art. 4 LPCC prévoit qu’ont droit aux prestations les personnes dont le revenu annuel déterminant n’atteint pas le revenu minimum cantonal d’aide sociale applicable, le montant de la prestation complémentaire correspondant à la différence avec le revenu déterminant du requérant (art. 15 al. 1 LPCC). Ce revenu comprend, notamment, le</w:t>
      </w:r>
    </w:p>
    <w:p>
      <w:r>
        <w:t>A/3894/2010 - 8/11 - produit de la fortune, tant mobilière qu’immobilière (let. b), un cinquième de la fortune nette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Sont notamment considérés comme fortune de l'intéressé, et évalués conformément à la loi sur l'imposition des personnes physiques (impôt sur la fortune), l'argent comptant, les dépôts dans des banques et caisses d'épargne, les soldes de comptes courants et tous titres représentant la possession d'une somme d'argent (art. 7 al. 1 let. f LPCC).</w:t>
      </w:r>
    </w:p>
    <w:p>
      <w:r>
        <w:rPr>
          <w:b/>
        </w:rPr>
        <w:t>E. 5</w:t>
      </w:r>
    </w:p>
    <w:p>
      <w:r>
        <w:t>Aux termes de l’art. 25 al. 1 LPGA,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w:t>
      </w:r>
    </w:p>
    <w:p>
      <w:r>
        <w:t>A/3894/2010 - 9/11 -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