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ATAS/1137/2010 vom 11. November 2010</w:t>
      </w:r>
    </w:p>
    <w:p>
      <w:r>
        <w:t>GE Cour de justice, 2010-11-11, FR</w:t>
      </w:r>
    </w:p>
    <w:p>
      <w:r>
        <w:rPr>
          <w:b/>
        </w:rPr>
        <w:t xml:space="preserve">Quelle: </w:t>
      </w:r>
      <w:r>
        <w:t>https://mcp.opencaselaw.ch/entscheid/ge_gerichte_ATAS_1137_2010</w:t>
      </w:r>
    </w:p>
    <w:p>
      <w:r>
        <w:t>FR: GE_GERICHTE ATAS/1137/2010 du 11 novembre 2010</w:t>
      </w:r>
    </w:p>
    <w:p>
      <w:r>
        <w:t>IT: GE_GERICHTE ATAS/1137/2010 del 11 novembre 2010</w:t>
      </w:r>
    </w:p>
    <w:p>
      <w:pPr>
        <w:pStyle w:val="Heading2"/>
      </w:pPr>
      <w:r>
        <w:t>Erwägungen</w:t>
      </w:r>
    </w:p>
    <w:p>
      <w:r>
        <w:rPr>
          <w:b/>
        </w:rPr>
        <w:t>E. 16</w:t>
      </w:r>
    </w:p>
    <w:p>
      <w:r>
        <w:t>décembre 2008. Il avait fait le maximum et il n’y avait pas eu de problème particulier. 26. A l’issue de l’audience, les parties furent invitées à déposer des observations. 27. Le recourant déposa une écriture le 10 juillet 2010. Il expliquait avoir fondé le calcul du taux d’invalidité proposé à l’appui de son recours sur les données de l’Observatoire genevois du marché du travail (OGMT), elles-mêmes fondées sur</w:t>
      </w:r>
    </w:p>
    <w:p>
      <w:r>
        <w:t>A/706/2010 - 7/12 - l’ESS. Il avait choisi le secteur « Industrie alimentaire et boissons », car ce secteur était celui qui employait le plus de personnes sans formation, et il était bien représenté à Genève. Il ne pouvait être tenu compte des DPT de manière générale car leur calcul reposait sur le salaire moyen d’entreprises individuelles et non sur l’ensemble des salaires d’une branche. Elles n’étaient pas suffisamment représentatives. S’agissant des DPT retenues par la SUVA, les activités de caissier de shop en station service et de caissier de parking n’étaient pas exigibles, car selon le rapport des EPI du 10 décembre 2008, le niveau scolaire du recourant était insuffisant et difficilement exploitable. Il fallait aussi tenir compte de la nationalité du recourant, qui selon le tableau TA_15 de l’ESS 2008 était un facteur diminuant de 18 % le salaire à prendre en compte. Il parvenait de la sorte à un taux d’invalidité de 55 % 28. La cause fut gardée à juger le 29 juillet 2010. EN DROIT 1.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w:t>
      </w:r>
    </w:p>
    <w:p>
      <w:r>
        <w:rPr>
          <w:b/>
        </w:rPr>
        <w:t>E. 20</w:t>
      </w:r>
    </w:p>
    <w:p>
      <w:r>
        <w:t>mars 1981 (LAA ; RS 832.20). Sa compétence pour juger du cas d’espèce est ainsi établie. 2. La loi fédérale sur la partie générale du droit des assurances sociales du 6 octobre 2000 (ci-après : LPGA), entrée en vigueur le 1er janvier 2003, est applicable en l’espèce. 3. Adressé au Tribunal cantonal des assurances sociales par pli postal du 25 février 2010, le recours contre la décision sur opposition de la SUVA du 25 janvier 2010 intervient en temps utile (art. 60 al. 1 LPGA). Les autres conditions prévues par les art. 56 et ss LPGA étant réalisées, le recours est recevable. 4. Le litige porte sur le taux d’invalidité retenu par la SUVA, dans le cadre du droit à la rente d’invalidité. Plus spécifiquement, le recourant conteste les bases de calcul de ce taux d’invalidité.</w:t>
      </w:r>
    </w:p>
    <w:p>
      <w:r>
        <w:t>A/706/2010 - 8/12 - 5. Selon l’article 18 al. 1 LAA, si l’assuré est invalide à 10 % au moins par suite d’un accident, il a droit à une rente d’invalidité. 6.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w:t>
      </w:r>
    </w:p>
    <w:p>
      <w:r>
        <w:t>A/706/2010 - 9/12 - les données salariales résultant des descriptions de postes de travail établies par la CNA (ATF 129 V 472).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7. En l’espèce, sur le plan médical, l’avis du Dr C___________ (pleine capacité de travail dans une activité adaptée) n’est à juste titre pas remis en cause, cet avis ayant une complète valeur probante (ATF 125 V 352 consid. 3a, 122 V 160 consid. 1c et les références) et étant corroboré par le Dr D___________ (cf. notamment son avis du 29 novembre 2007 à l’attention de l’OAI). Le recourant considère toutefois que son état de santé n’est pas stabilisé. Cette appréciation est contredite par les avis concordants des Dr C___________ (rapport consécutif à l’examen du 22 octobre 2007) et D___________ (cf. notamment son avis du 29 novembre 2007 à l’attention de l’OAI). Cette critique est ainsi dénuée de fondement. L’on discerne des explications du recourant lors de l’audience du 6 juillet 2010, qu’il craint une aggravation ou une rechute. Cette crainte n’est pas pertinente, dès lors que le recourant conserve la faculté de solliciter la révision de son droit à la rente en cas de modification notable du taux d’invalidité (art. 17 LPGA). 8. Le recourant conteste avant tout les bases du calcul du taux d’invalidité, proposant de faire application des données de l’OGMT. La référence à ces données pour le calcul du revenu d’invalide, comme pour le calcul du revenu sans invalidité, n’est toutefois pas admissible. En effet, comme rappelé plus haut, les deux méthodes reconnues par la jurisprudence pour fixer le revenu d’invalide reposent sur les statistiques selon l’ESS (Tableau TA_1 et non TA_15) et sur les données salariales récoltées par la CNA (DPT) (SBVR-XIV- MEYER, Soziale Sicherheit, Partie F : L’assurance-accidents obligatoire, pages 900 et 901, n°171 à 176). De surcroît, le Tribunal fédéral a nié, dans une décision de principe, la possibilité de prendre en considération les données salariales régionales (ATF non publié du 22 août 2006, I 424/05). Au demeurant, la SUVA a pris en compte les DPT établies par elle pour établir le revenu d’invalide, ce que la jurisprudence rappelée plus haut permet, à des conditions réalisées en l’espèce.</w:t>
      </w:r>
    </w:p>
    <w:p>
      <w:r>
        <w:t>A/706/2010 - 10/12 - Le recourant ne conteste, de manière peu argumentée, l’exigibilité que de deux des DPT choisies par la SUVA, à savoir les activités de caissier de shop en station service (DPT n° 2261) et de caissier de parking (DPT n° 822). Il explique que ces activités ne sont pas exigibles, car selon les EPI, son niveau scolaire était insuffisant et difficilement exploitable. Selon la fiche descriptive détaillée du DPT n° 2261, l’activité de caissier de shop en station service consiste en l’équivalent d’un poste de vente dans une petite épicerie. L’employé passe les commandes, réceptionne la marchandise et la met en stock ou en rayon. S’agissant de l’essence, les stations-services sont entièrement automatisées et le client fait le plein lui-même, l’employé devant tenir le décompte de caisse et de litrage. Le Tribunal estime qu’il s’agit d’une activité suffisamment simple pour qu’elle puisse être effectuée par le recourant, du moins en tenant compte d’efforts raisonnablement exigibles de sa part. De ce point de vue, le Tribunal considère que les observations détaillées figurant dans le rapport des EPI du 10 décembre 2008 doivent être prises avec précaution, vu l’absence de collaboration du recourant durant la mesure d’orientation professionnelle, laquelle a entraîné la fin prématurée du stage, sans que le recourant ne fournisse d’explication convaincante. L’on peut et doit attendre du recourant qu’il fasse des efforts raisonnablement exigibles, d’autant que ses connaissance scolaires limitées doivent être mises en relation avec son jeune âge qui suppose que l’on peut attendre encore quelques apprentissages. Les EPI ont quoiqu’il en soit tiré la conclusion générale selon laquelle une activité industrielle simple et légère était exigible à plein temps, cas échéant avec un rendement diminué en raison des limitations du poignet droit L’activité de gardien consiste en la surveillance de locaux en faisant des rondes et à changer de la monnaie, encaisser des abonnements et renseigner et conseiller les clients. Il faut aussi faire quelques nettoyages. Là aussi, il s’agit d’une activité suffisamment simple pour qu’elle puisse être effectuée par le recourant, malgré des connaissances scolaires limitées. Il s’en suit que le calcul du taux d’invalidité effectué par la SUVA (et en particulier le revenu d’invalide fixé à environ 54'000 fr.) est exempt de critique et doit être confirmé, étant rappelé que le calcul fondé sur des DPT n’implique aucun abattement supplémentaire (ATF 129 V 472). A cela s’ajoute que la SUVA relève avec pertinence qu’un calcul fondé sur les statistiques de l’ESS 2008 serait moins favorable au recourant. En effet, dans le cadre d’un tel calcul, le Tribunal est d’avis qu’il conviendrait, vu l’exigibilité retenue par les EPI, de tenir compte d’un revenu mensuel de 5'116 fr. correspondant à une activité simple et répétitive (niveau 4 du tableau TA_1) dans les industries manufacturières (lignes 15 à 37). Annualisé et ramené à une durée moyenne du travail de 41,6 heures par semaine, il s’agirait d’un revenu de 63'847 fr 70 (5'116 fr. x 12 mois / 40 heures x 41,6 heures). La SUVA a retenu dans ce cadre un</w:t>
      </w:r>
    </w:p>
    <w:p>
      <w:r>
        <w:t>A/706/2010 - 11/12 - abattement de 10 %, pourcentage au-delà duquel le Tribunal estime qu’il est in casu exclu d’aller, compte tenu du très jeune âge du recourant (29 ans), ce qui ramène le revenu d’invalide à 57'462 fr. 90, soit un montant supérieur (donc moins favorable au recourant) à celui retenu par la SUVA à l’aide des DPT. 9. Le recours sera ainsi rejeté.</w:t>
      </w:r>
    </w:p>
    <w:p>
      <w:r>
        <w:t>A/706/2010 - 12/12 -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