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ATAS/1136/2017 vom 12. Dezember 2017</w:t>
      </w:r>
    </w:p>
    <w:p>
      <w:r>
        <w:t>GE Cour de justice, 2017-12-12, FR</w:t>
      </w:r>
    </w:p>
    <w:p>
      <w:r>
        <w:rPr>
          <w:b/>
        </w:rPr>
        <w:t xml:space="preserve">Quelle: </w:t>
      </w:r>
      <w:r>
        <w:t>https://mcp.opencaselaw.ch/entscheid/ge_gerichte_ATAS_1136_2017</w:t>
      </w:r>
    </w:p>
    <w:p>
      <w:r>
        <w:t>FR: GE_GERICHTE ATAS/1136/2017 du 12 décembre 2017</w:t>
      </w:r>
    </w:p>
    <w:p>
      <w:r>
        <w:t>IT: GE_GERICHTE ATAS/1136/2017 del 12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Tel que circonscrit par les conclusions de la recourante, le litige porte sur le droit de la recourante à une rente d’invalidité (cf. arrêt du Tribunal fédéral 9C_197/2007 du 27 mars 2008 consid. 1.2).</w:t>
      </w:r>
    </w:p>
    <w:p>
      <w:r>
        <w:rPr>
          <w:b/>
        </w:rPr>
        <w:t>E. 5</w:t>
      </w:r>
    </w:p>
    <w:p>
      <w:r>
        <w:t>Il convient en premier lieu de rappeler que la jurisprudence a déduit du droit d'être entendu (art. 29 al. 2 de la Constitution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arrêt du Tribunal fédéral 9C_136/2017 du 21 août 2017 consid. 5.2). Dans le cas d’espèce, l’intimé a rendu la décision confirmant les termes de son projet moins de quinze jours après avoir sollicité des documents de la recourante, sans même attendre leur production, et trois jours seulement après adressé une copie de son dossier à son médecin, conformément à sa demande de consultation. Il a ainsi effectivement privé la recourante de la possibilité de déposer des observations pertinentes pour la décision à rendre, alors même qu’elle avait clairement manifesté sa volonté de produire certaines pièces à l’appui de ses dires. L’intimé n’a ainsi pas respecté les garanties constitutionnelles précitées.</w:t>
      </w:r>
    </w:p>
    <w:p>
      <w:r>
        <w:t>A/1538/2017 - 19/30 - La violation du droit d’être entendu, de caractère formel, doit entraîner l'annulation de la décision attaquée, indépendamment des chances de succès du recourant sur le fond (ATF 127 V 431c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La chambre de céans disposant d’une pleine cognition et la recourante ayant eu la possibilité de s’exprimer sur les faits de la cause et de produire des pièces dans le cadre de la présente procédure, on peut exceptionnellement admettre que la violation de son droit d’être entendue est réparée.</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w:t>
      </w:r>
    </w:p>
    <w:p>
      <w:r>
        <w:t>A/1538/2017 - 20/30 -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A/1538/2017 - 21/30 - pour remettre en cause les conclusions de l'expert (arrêt du Tribunal fédéral 9C_405/2008 du 29 septembre 2008 consid. 3.2).</w:t>
      </w:r>
    </w:p>
    <w:p>
      <w:r>
        <w:rPr>
          <w:b/>
        </w:rPr>
        <w:t>E. 9</w:t>
      </w:r>
    </w:p>
    <w:p>
      <w:r>
        <w:t>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l'éducation des enfants ainsi que toute activité artistique ou d'utilité publique (ATF 137 V 334 consid. 3.1.2).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arrêt du Tribunal fédéral 9C_36/2013 du 21 juin 2013 consid. 4.1.3). d.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w:t>
      </w:r>
    </w:p>
    <w:p>
      <w:r>
        <w:t>A/1538/2017 - 22/30 -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Selon la jurisprudence fédérale,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(arrêt du Tribunal fédéral 9C_432/2016 du 10 février 2017 consid. 5.1 et les références). e.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w:t>
      </w:r>
    </w:p>
    <w:p>
      <w:r>
        <w:rPr>
          <w:b/>
        </w:rPr>
        <w:t>E. 10</w:t>
      </w:r>
    </w:p>
    <w:p>
      <w:r>
        <w:t>Il convient de préciser ce qui suit au sujet de la méthode de comparaison des revenus.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w:t>
      </w:r>
    </w:p>
    <w:p>
      <w:r>
        <w:t>A/1538/2017 - 23/30 -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des assurances I 168/05 du 24 avril 2006 consid. 3.3; arrêt du Tribunal fédéral des assurances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 total secteur privé »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 arrêt du Tribunal fédéral 9C_142/2009 du 20 novembre 2009, consid. 4.1; arrêt du Tribunal fédéral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w:t>
      </w:r>
    </w:p>
    <w:p>
      <w:r>
        <w:t>A/1538/2017 - 24/30 -</w:t>
      </w:r>
    </w:p>
    <w:p>
      <w:r>
        <w:rPr>
          <w:b/>
        </w:rPr>
        <w:t>E. 11</w:t>
      </w:r>
    </w:p>
    <w:p>
      <w:r>
        <w:t>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w:t>
      </w:r>
    </w:p>
    <w:p>
      <w:r>
        <w:t>A/1538/2017 - 25/30 -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w:t>
      </w:r>
    </w:p>
    <w:p>
      <w:r>
        <w:rPr>
          <w:b/>
        </w:rPr>
        <w:t>E. 12</w:t>
      </w:r>
    </w:p>
    <w:p>
      <w:r>
        <w:t>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des assurances 8C_496/2007 du 29 avril 2008 consid. 4). En outre,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13</w:t>
      </w:r>
    </w:p>
    <w:p>
      <w:r>
        <w:t>En l’espèce, il convient en premier lieu de déterminer si les expertises versées au dossier doivent se voir reconnaître valeur probante. a. En préambule, la chambre de céans relève au sujet des griefs de la recourante ayant trait aux modalités de mise en œuvre de l’expertise des Drs F______ et G______ que la jurisprudence récente a certes posé des exigences accrues en matière de participation et droit d’être entendu des assurés lorsqu’une assurance sociale diligente une expertise, exigences qui comprennent le droit de se prononcer sur le choix de l'expert, de connaître les questions qui lui seront posées et d'en formuler d'autres (ATF 137 V 210 consid. 3.2.4.6 et 3.2.4.9). Cependant, l’expertise des Drs F______ et G______ a été requise par une assurance d’indemnités journalières selon la loi fédérale sur le contrat d'assurance (LCA - RS 221.229.1). Ainsi, la LPGA et les garanties relatives au droit d’être entendu ne sont pas applicables, et la force probante de ce rapport doit être analysée conformément aux lignes directives rappelées ci-dessus.</w:t>
      </w:r>
    </w:p>
    <w:p>
      <w:r>
        <w:t>A/1538/2017 - 26/30 - b. Au plan rhumatologique, l’expertise de la Dresse F______ est en tous points conforme aux exigences du Tribunal fédéral. La recourante n’en conteste du reste pas expressément la valeur probante. La chambre de céans n’a ainsi aucun motif de s’écarter des conclusions de la rhumatologue, selon lesquelles la recourante n’est plus à même d’exercer son activité habituelle mais dispose d’une pleine capacité de travail au plan somatique dans une activité adaptée. c. Du point de vue psychique, l’expertise du Dr G______ contient une anamnèse détaillée, rapporte les plaintes de la recourante et pose des diagnostics précis. S’agissant de la capacité de travail, ce médecin a exposé que la reprise du travail à 60 % était possible. Cette réponse s’inscrit dans le cadre du mandat qui lui a été confié par une assurance d’indemnités journalières qui ne répond que de la perte de gain liée au taux d’activité assuré – soit 60 % en l’occurrence – et ne doit pas être comprise comme excluant la reprise d’une activité à un taux supérieur. Sur ce point, et contrairement à ce qu’affirme la recourante, le Dr G______ n’a d’ailleurs pas exclu la possibilité d’exercer une activité adaptée à un taux excédant 60 %, puisqu’il a indiqué que l’incapacité de travail était nulle du point de vue théorique. S’agissant en revanche de la date dès laquelle ce médecin a admis qu’une activité adaptée était exigible, soit janvier 2015, les raisons avancées ne sont guère convaincantes. En premier lieu, l’admission d’une incapacité de travail jusqu’à cette date contraste avec la capacité de travail théorique totale admise. Elle n’est d’ailleurs guère cohérente au vu des éléments du diagnostic posé et du status. En outre, cette incapacité ne correspond pas à un véritable empêchement d’origine médicale mais poursuit un but prophylactique, qui ne relève pas de l’assurance- invalidité. Partant, on ne peut se rallier sans réserve aux conclusions du Dr G______. d. En ce qui concerne l’expertise du Dr H______, elle relate de manière complète l’historique personnel, familial et médical de la recourante. Les plaintes de cette dernière sont décrites avec précision, de même que les observations cliniques. L’expert a posé des diagnostics clairs, en exposant soigneusement pour quels motifs il écartait ceux retenus par ses confrères et les critères diagnostiques qui le guidaient. Son analyse de la capacité de travail est en outre motivée. L’expertise satisfait ainsi aux réquisits jurisprudentiels rappelés ci-dessus en matière de rapports médicaux. e. Les autres rapports médicaux versés au dossier ne justifient pas que l’on s’en écarte. S’agissant des rapports de la Dresse E______ de juillet 2014, ils correspondent à la période de dégradation transitoire de l’état psychique de la recourante de mars à août 2014, également relevée par le Dr H______. La recourante a cependant indiqué qu’elle s’était sentie mieux dès cette date, hormis la nouvelle aggravation lors du décès de sa sœur en été 2015, qui s’est elle aussi révélée passagère selon les constatations du second expert psychiatre. C’est à cette époque que le Dr D______ a signalé la nécessité de mettre en œuvre une nouvelle expertise. Il convient cependant de souligner que même à cette date, ce médecin ne</w:t>
      </w:r>
    </w:p>
    <w:p>
      <w:r>
        <w:t>A/1538/2017 - 27/30 - semblait pas considérer la recourante comme incapable de travailler, puisqu’il indiquait l’avoir encouragée à suivre la mesure d’ordre professionnel prévue aux EPI. Si l’échec de cette mesure s’explique apparemment en partie par le fait que la recourante l’a perçue de manière persécutoire, le Dr H______ a exclu toute origine psychique à ce ressenti. Le Dr D______ n’amène aucun autre élément nouveau dont le Dr H______ aurait omis de tenir compte dans son appréciation. f. Eu égard aux éléments qui précèdent, la chambre de céans ne s’écartera pas des conclusions de la Dresse F______ et du Dr H______, selon lesquelles la recourante ne peut plus travailler en qualité d’aide-soignante mais dispose d’une capacité de travail totale dans une activité adaptée. Quant à la question de savoir s’il est réaliste de considérer que la recourante peut exploiter cette capacité de travail résiduelle, il faut rappeler qu’elle est très en-deçà de l’âge auquel une réinsertion professionnelle ne peut plus être raisonnablement envisagée selon la jurisprudence. Par ailleurs, les limitations fonctionnelles retenues par la Dresse F______ consistent en des mesures classiques d’épargne du rachis, et il n’est pas arbitraire de retenir que le marché du travail comprend un large éventail d'activités légères adaptées à ses limitations et accessibles sans formation particulière (cf. arrêt du Tribunal fédéral 9C_1066/2009 du 22 septembre 2010 consid. 4.2).</w:t>
      </w:r>
    </w:p>
    <w:p>
      <w:r>
        <w:rPr>
          <w:b/>
        </w:rPr>
        <w:t>E. 14</w:t>
      </w:r>
    </w:p>
    <w:p>
      <w:r>
        <w:t>En ce qui concerne le calcul d’invalidité, il convient en premier lieu de déterminer si c’est à juste titre que l’intimé a tenu compte d’un statut mixte pour la recourante. Il ressort des explications que la recourante a données à la Dresse F______ qu’elle a travaillé à plein temps avant de baisser son taux d’activité pour pouvoir continuer à exercer son métier malgré les sollicitations accrues qu’il impliquait pour son dos. La chambre de céans relève que l’intimé ne conteste pas la réalité de ces propos, que la recourante a tenus dans un contexte sans lien avec la détermination de son statut, alors qu’elle ignorait la portée qui pouvait leur être conférée. Conformément au principe de la première déclaration, on doit considérer que ces indications revêtent une présomption de vérité. La réduction du taux d’activité est de plus concomitante à l’apparition des douleurs dorsales, datée de l’année 2000 par le Dr D______, ce qui accrédite également les déclarations de la recourante s’agissant des motifs pour lesquels elle n’est pas active à temps plein. De plus, cette dernière n’a pas d’enfants et vit seule. Elle ne signale aucun loisir particulier auquel elle aurait souhaité consacrer une partie importante de son temps au détriment de son activité professionnelle. En outre, son emploi était relativement faiblement rémunéré, de sorte qu’il n’apparait guère plausible qu’elle ait choisi de réduire son taux d’activité sans motif impérieux. La recourante s’est d’ailleurs ouverte des restrictions subies du fait de la faiblesse de ses ressources financières au Dr G______, puisqu’elle lui a indiqué ne plus pouvoir assister à des représentations théâtrales qu’elle apprécie pourtant. Ainsi, compte tenu de sa situation globale, il apparaît hautement vraisemblable que la recourante aurait occupé son poste à plein</w:t>
      </w:r>
    </w:p>
    <w:p>
      <w:r>
        <w:t>A/1538/2017 - 28/30 - temps sans problèmes de santé et qu’elle a été contrainte de réduire son taux d’activité à cause de ses atteintes dorsales. Le raisonnement de l’intimé, qui écarte l’hypothèse d’une baisse d’activité pour des douleurs dorsales au motif que la recourante ne les aurait pas mentionnées dans sa demande de prestations liée à l’hépatite C en 2008, ne peut être suivi. D’une part, il est pour le moins contradictoire, puisque l’intimé admet que le passage d’un taux de 80 % à 60 % a été dicté par les problèmes dorsaux de la recourante, alors que cette réduction est également antérieure à la demande de prestations de 2008 qui ne les évoque pas. D’autre part, un tel formulaire d’annonce n’a pas pour vocation de relater de manière exhaustive les atteintes à la santé des assurés. Le fait que la recourante n’y ait pas mentionné de telles douleurs s’explique également par son caractère peu plaintif et son souhait – louable – de poursuivre son activité d’aide- soignante malgré la sévérité de ses troubles rachidiens. Pour ces motifs, la chambre de céans retiendra pour la recourante un statut d’active à plein temps, et non un statut mixte.</w:t>
      </w:r>
    </w:p>
    <w:p>
      <w:r>
        <w:rPr>
          <w:b/>
        </w:rPr>
        <w:t>E. 15</w:t>
      </w:r>
    </w:p>
    <w:p>
      <w:r>
        <w:t>Au vu de ce qui précède, il y a lieu de reprendre le calcul d’invalidité de la recourante en tenant compte d’un statut d’active à 100 %. S’agissant du revenu sans invalidité, on peut admettre que la recourante aurait poursuivi son activité d’aide-soignante à 100 % sans atteinte à la santé. On tiendra ainsi compte du revenu signalé par son employeur en mai 2014, comme l’a du reste fait l’intimé, soit CHF 48'657.95 (13 mensualités à CHF 3'742.15) pour 60 %. Extrapolé à une activité exercée à 100 %, ce revenu s’élève à CHF 81'079.90 par an. Pour fixer le revenu sans invalidité, le recours au revenu statistique dans une activité de niveau 1 selon l’ESS 2014, tous domaines confondus, est conforme au droit. Ce revenu mensuel de CHF 4'300.- s’élève à CHF 53'793.- une fois annualisé et adapté à la durée normale de travail de 41.7 heures en 2014. L’intimé a opéré un abattement de 20 % sur ce montant, ce qui le porte à CHF 43'034.80. Ce faisant, il est resté dans les limites de son pouvoir d’appréciation, de sorte que la chambre de céans ne peut y substituer un taux de réduction différent (cf. ATF 132 V 393 consid. 3.3). La comparaison des revenus avec et sans invalidité aboutit ainsi à une perte de gain de 46.9 %. Ce taux d’invalidité ouvre le droit à un quart de rente. Le droit à la rente s’ouvre au plus tôt six mois après la demande de prestations et une année après l’expiration d’un délai de carence d’une année (art. 28a al. 1 et art. 28 al. 1 let. b LAI). C’est ainsi dès décembre 2014 que la recourante a droit à un quart de rente.</w:t>
      </w:r>
    </w:p>
    <w:p>
      <w:r>
        <w:rPr>
          <w:b/>
        </w:rPr>
        <w:t>E. 16</w:t>
      </w:r>
    </w:p>
    <w:p>
      <w:r>
        <w:t>La recourante a conclu à son audition et à la mise en œuvre d’une expertise bidisciplinaire.</w:t>
      </w:r>
    </w:p>
    <w:p>
      <w:r>
        <w:t>A/1538/2017 - 29/30 -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application de ce principe, la chambre de céans renoncera à l’audition et à l’expertise judiciaire auxquelles la recourante a conclu. En effet, cette dernière a eu l’occasion de s’exprimer par écrit sur tous les points concernant son état de santé, lequel a en outre été investigué à satisfaction de droit. Ces mesures d’instruction s’avèrent ainsi inutiles.</w:t>
      </w:r>
    </w:p>
    <w:p>
      <w:r>
        <w:rPr>
          <w:b/>
        </w:rPr>
        <w:t>E. 17</w:t>
      </w:r>
    </w:p>
    <w:p>
      <w:r>
        <w:t>Le recours est partiellement admis. La recourante a droit à des dépens, qui seront en l’espèce fixés à CHF 1'500.- (art. 61 let. g LPGA). La procédure en matière d’assurance-invalidité n'étant pas gratuite (art. 69 al. 1bis LAI), l’intimé sera condamné au paiement d'un émolument de CHF 200.-.</w:t>
      </w:r>
    </w:p>
    <w:p>
      <w:r>
        <w:t>A/1538/2017 - 30/30 -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