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ATAS/1136/2011 vom 24. November 2011</w:t>
      </w:r>
    </w:p>
    <w:p>
      <w:r>
        <w:t>GE Cour de justice, 2011-11-24, FR</w:t>
      </w:r>
    </w:p>
    <w:p>
      <w:r>
        <w:rPr>
          <w:b/>
        </w:rPr>
        <w:t xml:space="preserve">Quelle: </w:t>
      </w:r>
      <w:r>
        <w:t>https://mcp.opencaselaw.ch/entscheid/ge_gerichte_ATAS_1136_2011</w:t>
      </w:r>
    </w:p>
    <w:p>
      <w:r>
        <w:t>FR: GE_GERICHTE ATAS/1136/2011 du 24 novembre 2011</w:t>
      </w:r>
    </w:p>
    <w:p>
      <w:r>
        <w:t>IT: GE_GERICHTE ATAS/1136/2011 del 24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recevabilité du recours ayant d'ores et déjà été admise, il n'y a pas lieu d'y revenir.</w:t>
      </w:r>
    </w:p>
    <w:p>
      <w:r>
        <w:t>A/1087/2007 - 17/21 -</w:t>
      </w:r>
    </w:p>
    <w:p>
      <w:r>
        <w:rPr>
          <w:b/>
        </w:rPr>
        <w:t>E. 3</w:t>
      </w:r>
    </w:p>
    <w:p>
      <w:r>
        <w:t>Le litige porte sur le degré d'invalidité du recourant, plus particulièrement sur la question de savoir si la suppression de sa rente au 1er avril 2007 était ou non justifiée.</w:t>
      </w:r>
    </w:p>
    <w:p>
      <w:r>
        <w:rPr>
          <w:b/>
        </w:rPr>
        <w:t>E. 4</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Selon cette disposition,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5</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A/1087/2007 - 18/21 -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6</w:t>
      </w:r>
    </w:p>
    <w:p>
      <w:r>
        <w:t>En l’espèce, le recourant conteste le taux de la capacité résiduelle de travail de 80% retenu par l'intimé à compter du 1er avril 2007 sur la base de l’expertise du CEMed du 22 mai 2006 et des conclusions du volet somatique de l’expertise judiciaire. Sur le plan somatique, on relèvera que tous les médecins s’accordent sur le fait que l’assuré, à condition de respecter les limitations énoncées, pourrait travailler à</w:t>
      </w:r>
    </w:p>
    <w:p>
      <w:r>
        <w:t>A/1087/2007 - 19/21 - raison de 6-7 heures par jour. Seule l’évaluation de la capacité de travail d’un point de vue psychique reste donc litigieuse. Ainsi que l’a relevé le Tribunal cantonal lorsqu’il a ordonné l’expertise judiciaire, les conclusions du Dr Q___________ sur ce point apparaissent troublantes. Si l’on en croit le Dr N___________, qui s’est prononcé au début de l’année 2004, alors même que l'état de l'assuré semblait être relativement bon par rapport à ce qu’il avait pu être précédemment, la capacité de travail de l’intéressé ne dépassait pourtant pas 50%. Dès lors, la conclusion du Dr Q___________ selon laquelle il n’y aurait strictement aucune limitation fonctionnelle sur le plan psychique apparait surprenante à une période où les médecin et psychiatre traitants de l’assuré ont attesté d’une péjoration qu’ils ont documentée (recrudescence des attaques de panique jusqu'à plusieurs fois par jour, avec peur panique sans objet, sensation de tension, accélération du rythme cardiaque, sueurs et tremblements et difficultés de concentration) et dont ils ont attesté qu’elle avait entrainé une incapacité de travail à compter du 11 mai 2005 et conduit l’assuré à demander la révision de son dossier pour aggravation. Les contradictions relevées par le Dr O___________ s’agissant du rapport du Dr Q___________ sont apparues suffisamment troublantes pour jeter le doute sur les conclusions du rapport du Dr Q___________ et ordonner une nouvelle expertise. Il est en effet apparu que le Dr Q___________ n’avait pas pris en compte le parcours pour le moins chaotique - en termes de scolarité et de parcours professionnel - de l’assuré depuis l’enfance ; quant à l’affirmation selon laquelle le trouble panique de l’intéressé se serait amélioré, elle n’apparaissait pas convaincante car en totale contradiction avec la description détaillée du psychiatre traitant. Les conclusions du Dr D__________ apparaissent au contraire convaincantes. En premier lieu, le rapport de cet expert remplit tous les réquisits posés par la jurisprudence en matière de valeur probante : les points litigieux importants ont fait l'objet d'une étude fouillée, l'expert prend en considération les plaintes exprimées et le rapport a été établi en pleine connaissance du dossier. Certes, ainsi que le relève l’intimé, le Dr D__________ est le premier médecin à retenir le diagnostic d'autres troubles spécifiques de la personnalité. Force est cependant de constater que l’expert motive sa position de manière convaincante par la nécessité dans laquelle l'assuré s'est trouvé dès l'enfance d'être suivi sur le plan psychique, les difficultés scolaires qui ont suivi et sa difficulté à s'insérer par la suite dans le réseau socioprofessionnel. Dans ces circonstances, l'existence d'un trouble psychique grave nuisant au fonctionnement social de l'assuré apparaît établie. On relèvera d'ailleurs que les médecins du SMR ont convenu que le trouble diagnostiqué était bel et bien décrit par le Dr D__________. On ne saurait dès lors écarter comme ils le font ce diagnostic au seul motif qu'il n'a été évoqué ni par le Dr N___________</w:t>
      </w:r>
    </w:p>
    <w:p>
      <w:r>
        <w:t>A/1087/2007 - 20/21 - ni par le Dr Q___________ - dont on a déjà dit que le rapport ne saurait se voir reconnaitre pleine valeur probante. Quant à l'agoraphobie avec trouble panique dont les médecins du SMR soutiennent qu'elle n'aurait pas été décrite de manière précise, force est de constater que ce diagnostic a été posé et confirmé par de nombreux spécialistes. A cet égard, l'expert D__________ a expliqué que le trouble anxieux était certes partiellement compensé mais non guéri. Il a également détaillé la manière dont l’assuré est limité lors de la survenance d’accès anxieux ainsi que les raisons pour lesquelles il n'est ni vraisemblable ni recommandable d'exiger de sa part qu'il augmente son taux d'activité au-delà de 50%. L’expert a notamment souligné que les ressources de l'assuré - facilement surestimées - sont diminuées et que ses troubles psychiques, présents depuis de nombreuses années, doivent être qualifiées de graves. Dans ces circonstances, la Cour de céans se rallie aux conclusions de l'expert judiciaire et retiendra une capacité de travail de 50% dans une activité adaptée telle que celle de photographe indépendant. L'OAI ayant admis que sur le plan psychique l'assuré avait été dans l'incapacité totale mais temporaire de travailler à compter du 11 mai 2005. Ainsi qu’on l’a vu, l’assuré a par la suite recouvré non pas une pleine et entière capacité de travail mais une capacité réduite à 50 % au maximum.</w:t>
      </w:r>
    </w:p>
    <w:p>
      <w:r>
        <w:rPr>
          <w:b/>
        </w:rPr>
        <w:t>E. 7</w:t>
      </w:r>
    </w:p>
    <w:p>
      <w:r>
        <w:t>Reste à vérifier le calcul du degré d'invalidité. Sur ce point cependant, la Cour constate qu’elle ne dispose pas de suffisamment d’éléments. Il n’est pas contesté que l’activité de photographe indépendant dans laquelle l’assuré a fait l’effort de se réinsérer est la plus adaptée à son état et qu’elle permet d’espérer - plus qu’une activité salariée soumise à des contraintes horaires et à l’indulgence d’un patron - que l’assuré pourra préserver sa capacité résiduelle de travail dans le temps. La Cour ne dispose cependant d’aucun élément pour apprécier la capacité de gain de l’assuré dans cette activité. Il convient donc de renvoyer la cause à l’intimé à charge pour ce dernier de procéder à une enquête économique puis au calcul du degré d’invalidité de l’intéressé pour la période postérieure au 31 mars 2007, date jusqu’à laquelle l’OAI a admis l’octroi d’une rente entière.¨ En ce sens, le recours est partiellement admis.</w:t>
      </w:r>
    </w:p>
    <w:p>
      <w:r>
        <w:t>A/1087/2007 - 21/21 -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