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ATAS/1135/2013 vom 21. November 2013</w:t>
      </w:r>
    </w:p>
    <w:p>
      <w:r>
        <w:t>GE Cour de justice, 2013-11-21, FR</w:t>
      </w:r>
    </w:p>
    <w:p>
      <w:r>
        <w:rPr>
          <w:b/>
        </w:rPr>
        <w:t xml:space="preserve">Quelle: </w:t>
      </w:r>
      <w:r>
        <w:t>https://mcp.opencaselaw.ch/entscheid/ge_gerichte_ATAS_1135_2013</w:t>
      </w:r>
    </w:p>
    <w:p>
      <w:r>
        <w:t>FR: GE_GERICHTE ATAS/1135/2013 du 21 novembre 2013</w:t>
      </w:r>
    </w:p>
    <w:p>
      <w:r>
        <w:t>IT: GE_GERICHTE ATAS/1135/2013 del 21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w:t>
      </w:r>
    </w:p>
    <w:p>
      <w:r>
        <w:t>A/652/2013 - 13/17 -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 prévus par la loi, le présent recours est recevable (art. 30 al. 1 et 60 al. 2 LPGA).</w:t>
      </w:r>
    </w:p>
    <w:p>
      <w:r>
        <w:rPr>
          <w:b/>
        </w:rPr>
        <w:t>E. 3</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en particulier losque des spécialistes émettent des opinions contraires aptes à mettre sérieusement en doute la pertinence des déductions de l’expert (ATF 118 V 286, consid. 1b).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w:t>
      </w:r>
    </w:p>
    <w:p>
      <w:r>
        <w:rPr>
          <w:b/>
        </w:rPr>
        <w:t>E. 4</w:t>
      </w:r>
    </w:p>
    <w:p>
      <w:r>
        <w:t>En l’espèce, dans le cadre de l’instruction de la cause, l’intimé a confié une expertise au Dr N__________, spécialiste FMH en psychiatrie-psychothérapie, pour éclaircir les diagnostics incapacitants ainsi que l'exigibilité. Dans son rapport d’expertise du 27 février 2012, le Dr N__________ a posé les diagnostics de trouble de la personnalité, sans précisions, du type névrose de caractère (F60.9), de trouble anxieux phobique sans précisions (F40.9) ainsi que de trouble obsessionnel compulsif avec comportement compulsif au premier plan, d'importance clinique légère (F42.1). En revanche, contrairement au médecin traitant de la recourante, le Dr N__________ n'a pas retenu le diagnostic de schizophrénie (F20.0-F20.3) en l'absence d'un système délirant influençant gravement le mode de fonctionnement de la recourante dans la réalité. L'expert a précisé que dans la mesure où le trouble anxieux phobique et le trouble obsessionnel compulsif était influençables par des approches thérapeutiques, il ne</w:t>
      </w:r>
    </w:p>
    <w:p>
      <w:r>
        <w:t>A/652/2013 - 14/17 - retenait ni incapacité de travail, ni diminution de rendement dans son activité précédente comme dans toute activité en rapport avec la formation et l'expérience professionnelle de l'assuré.</w:t>
      </w:r>
    </w:p>
    <w:p>
      <w:r>
        <w:rPr>
          <w:b/>
        </w:rPr>
        <w:t>E. 5</w:t>
      </w:r>
    </w:p>
    <w:p>
      <w:r>
        <w:t>Le Dr P_________, spécialiste FMH en psychiatrie et psychothérapie, a examiné la recourante à sa demande et a réalisé un examen clinique comprenant notamment des tests psychologiques projectifs de type RORSCHACH et TAT. En appliquant cette méthode, il est parvenu à la conclusion que la recourante souffrait de schizophrénie paranoïde d'évolution continue (F20.0) et de trouble obsessionnel compulsif avec comportement compulsif au premier plan (F42.1).</w:t>
      </w:r>
    </w:p>
    <w:p>
      <w:r>
        <w:rPr>
          <w:b/>
        </w:rPr>
        <w:t>E. 6</w:t>
      </w:r>
    </w:p>
    <w:p>
      <w:r>
        <w:t>Invité à prendre position sur le rapport du Dr P_________, le Dr N__________ a indiqué que les tests psychologiques projectifs de type RORSCHACH et TAT n'étaient plus utilisés de nos jours en examen psychiatrique. Il a maintenu que la recourante ne présentait pas de schizophrénie, motif pris que sa personnalité, certes "spéciale", ne faisait obstacle ni à sa capacité d'auto-structuration, ni à un rapport bon et précis avec la réalité, que sa souffrance n'était pas énorme vu son refus de toute médication et qu'il n'y avait eu ni hospitalisation, ni "accrochages significatifs avec la réalité sociale et extérieure".</w:t>
      </w:r>
    </w:p>
    <w:p>
      <w:r>
        <w:rPr>
          <w:b/>
        </w:rPr>
        <w:t>E. 7</w:t>
      </w:r>
    </w:p>
    <w:p>
      <w:r>
        <w:t>La Cour de céans se retrouve dès lors confrontée, d’une part, à un rapport d’expertise qui n’objective aucune atteinte invalidante et d’autre part, au rapport médicaux des Drs L__________ et P_________ qui retiennent une schizophrénie paranoïde et un trouble obsessionnel compulsif entrainant une incapacité de travail dans toute activité. Les divergences entre les Drs N__________ et P_________ sont encore accentuées par le fait que le premier considère qu'une approche thérapeutique permettrait à la recourante de surmonter son trouble anxieux phobique et son trouble obsessionnel compulsif, alors que le second est d'avis qu'indépendamment du refus de toute médication par la recourante – que le Dr N__________ interprète pour sa part comme l'absence d'une énorme souffrance et de troubles réellement graves – la prise de neuroleptiques n'aurait que très peu d'effet sur ses idées délirantes, vu le stade avancé de sa schizophrénie.</w:t>
      </w:r>
    </w:p>
    <w:p>
      <w:r>
        <w:rPr>
          <w:b/>
        </w:rPr>
        <w:t>E. 8</w:t>
      </w:r>
    </w:p>
    <w:p>
      <w:r>
        <w:t>La capacité de travail peut-elle être améliorée par des mesures médicales? Dans l'affirmative: a) Lesquelles? b) Qu'en est-il en particulier de la prise de médicaments? c) Le refus de toute médication par la recourante peut-il interprété comme la conséquence d'une pathologie? Peut-il être surmonté par un effort de volonté raisonnablement exigible?</w:t>
      </w:r>
    </w:p>
    <w:p>
      <w:r>
        <w:t>A/652/2013 - 17/17 - d) En cas de réponse positive à la question précédente, quelle serait la capacité de travail exigible en cas d'observation d'un traitement médicamenteux adapté à l'état de santé?</w:t>
      </w:r>
    </w:p>
    <w:p>
      <w:r>
        <w:rPr>
          <w:b/>
        </w:rPr>
        <w:t>E. 9</w:t>
      </w:r>
    </w:p>
    <w:p>
      <w:r>
        <w:t>Formuler un pronostic global. 4. Toutes remarques utiles et propositions de l'expert. 5. Invite l'expert à déposer à sa meilleure convenance un rapport en trois exemplaires à la Cour de céans. 6.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