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ATAS/1134/2021 vom 9. November 2021</w:t>
      </w:r>
    </w:p>
    <w:p>
      <w:r>
        <w:t>GE Cour de justice, 2021-11-09, FR</w:t>
      </w:r>
    </w:p>
    <w:p>
      <w:r>
        <w:rPr>
          <w:b/>
        </w:rPr>
        <w:t xml:space="preserve">Quelle: </w:t>
      </w:r>
      <w:r>
        <w:t>https://mcp.opencaselaw.ch/entscheid/ge_gerichte_ATAS_1134_2021</w:t>
      </w:r>
    </w:p>
    <w:p>
      <w:r>
        <w:t>FR: GE_GERICHTE ATAS/1134/2021 du 9 novembre 2021</w:t>
      </w:r>
    </w:p>
    <w:p>
      <w:r>
        <w:t>IT: GE_GERICHTE ATAS/1134/2021 del 9 novembre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5</w:t>
      </w:r>
    </w:p>
    <w:p>
      <w:r>
        <w:t>a. 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 ATF 117 V 200 consid. 4b et les références). b. Lorsqu'elle est saisie d'une nouvelle demande, l'administration doit commencer par examiner si les allégations de l'assuré sont, d'une manière générale, plausibles.</w:t>
      </w:r>
    </w:p>
    <w:p>
      <w:r>
        <w:t>A/1779/2020 - 10/17 -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ATF 125 V 369 consid. 2 et la référence ; ATF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des prestations, et statuer en conséquence. En cas de recours, le même devoir de contrôle quant au fond incombe au juge (ATF 117 V 198 consid. 3a ; ATF 109 V 114 consid. 2a et b). d. En l'espèce, l'intimé a considéré qu'un nouveau diagnostic avait été posé en mai 2019, soit une leucoencéphalopathie microvasculaire, entraînant des troubles cognitifs invalidants. Il est dès lors entré en matière sur la nouvelle demande de prestations déposée par la recourante le 1er avril 2019 et a procédé à une nouvelle enquête économique sur le ménage le 27 avril 2020. Le litige porte ainsi uniquement sur le point de savoir si, en raison d'une aggravation de l'état de santé de l'assurée et de ses effets sur le plan économique, le degré d'invalidité a subi une modification significative depuis la décision du 28 octobre 2013 et atteint désormais un taux justifiant l'octroi d'une rente.</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w:t>
      </w:r>
    </w:p>
    <w:p>
      <w:r>
        <w:t>A/1779/2020 - 11/17 - résulte d’une atteinte à sa santé physique, mentale ou psychique et qu’elle persiste après les traitements et les mesures de réadaptation exigibles (art. 7 LPGA).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7</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w:t>
      </w:r>
    </w:p>
    <w:p>
      <w:r>
        <w:t>A/1779/2020 - 12/17 -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w:t>
      </w:r>
    </w:p>
    <w:p>
      <w:r>
        <w:t>A/1779/2020 - 13/17 - d.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(arrêts du Tribunal fédéral 9C_497/2014 du 2 avril 2015 consid. 4.1.1 ; 9C_521/2010 du 30 mars 2011 consid. 5 ; 8C_671/2007 du 13 juin 2008 consid. 3.2.1 et I 311/03 du 22 décembre 2003 consid. 4.2.1). Une telle priorité est justifiée par le fait qu'il est souvent difficile pour la personne chargée de l'enquête à domicile de reconnaître et d'apprécier l'ampleur de l'atteinte et des empêchements en résultant (cf. arrêt du Tribunal fédéral 9C_925/2013 du 1er avril 2014 consid. 2.2 et les références).</w:t>
      </w:r>
    </w:p>
    <w:p>
      <w:r>
        <w:rPr>
          <w:b/>
        </w:rPr>
        <w:t>E. 8</w:t>
      </w:r>
    </w:p>
    <w:p>
      <w:r>
        <w:t>En l’espèce, pour évaluer le taux d'invalidité de la recourante, l'intimé a procédé à une nouvelle enquête économique sur le ménage le 27 avril 2020, laquelle a conclu à une invalidité ménagère de 33 %, insuffisante pour ouvrir le droit à une rente. Devant la chambre de céans, la recourante ne conteste pas le statut de non active retenu par l’intimé. Ce statut est d’ailleurs justifié dans la mesure où la recourante n’a jamais exercé d’activité lucrative, ce qu’elle a confirmé en audience de comparution personnelle. Dès lors, seule importe la question du degré d’empêchement de la recourante à accomplir ses tâches habituelles. En l'occurrence, la recourante ne critique pas les différents postes retenus par l’enquête ménagère. Elle se plaint uniquement de ce que l’enquête ménagère a été effectuée par téléphone sur la base des réponses données par sa fille. Il est vrai que l’enquête ménagère est généralement effectuée au domicile de l'assuré. Or, en raison des mesures sanitaires, l’enquêtrice a réalisé l’enquête par téléphone. La question se pose donc de savoir si cet élément est susceptible de mettre en doute la valeur probante et les conclusions de l’enquête ménagère. En l’occurrence, l’enquête a été effectuée par une professionnelle de la santé, qui était au courant du dossier médical de la recourante puisqu’elle a mentionné les principales atteintes à la santé dans son rapport. Elle connaissait par ailleurs la situation de la recourante, en particulier son domicile, pour y avoir effectué l’enquête ménagère du 29 octobre 2012. Il ressort également de l’instruction que, lors de l’entretien téléphonique, la recourante donnait les réponses à sa fille, qui les traduisait pour l’enquêtrice. Questionnée par la chambre de céans, la recourante n’a pas été en mesure d’expliquer si certaines indications du rapport ne reproduisaient pas fidèlement ses propos, ni si ceux-ci auraient été retranscrits de manière</w:t>
      </w:r>
    </w:p>
    <w:p>
      <w:r>
        <w:t>A/1779/2020 - 14/17 - lacunaire. La chambre de céans ne le discerne pas non plus. Le texte du rapport apparaît au contraire plausible, il est motivé et rédigé de manière suffisamment détaillée par rapport aux différentes limitations et à l’enquête ménagère précédente et paraît correspondre aux indications données par téléphone par l’assurée, par l’intermédiaire de sa fille. Dans ces conditions, il n’existe aucun élément permettant de mettre en doute la valeur probante de l’enquête ménagère pour ce motif. S'agissant des conclusions de l'enquête ménagère au sujet de l'exigibilité des membres de sa famille, la recourante ne les conteste pas. Elle a d'ailleurs confirmé que son époux fournissait une contribution importante à l’accomplissement des tâches ménagères, indiquant en audience qu’il l’aidait « à tout faire à la maison ». Il payait les factures, passait l’aspirateur, lavait les vitres, faisait les courses et aidait à préparer les repas. Ses enfants, qui vivaient à la maison, apportaient également leur contribution, en faisant les machines, les courses, la vaisselle et le nettoyage du sol. Pour sa part, la recourante a affirmé qu’elle contribuait dans la mesure de ses possibilités. Dans ces conditions, force est de retenir qu’une aide à hauteur de 31 % apparaît parfaitement raisonnable et qu’aucun motif ne permet de revenir sur le taux d’exigibilité retenu par l’intimé. On notera, au passage, que, depuis l’enquête ménagère réalisée en 2012, l’exigibilité des membres de la famille est restée quasiment inchangée alors que les enfants ont grandi et participent davantage aux tâches ménagères. Il convient donc de suivre les conclusions de l'enquête ménagère sur ce point. Reste à examiner la valeur probante de l'enquête économique sur le ménage s'agissant des conclusions relatives aux empêchements retenus. À cet égard, on peut certes relever, comme l'a fait le SMR (cf. avis médical du 23 septembre 2021), que l’enquêtrice a tenu compte d’une aggravation de l’état de santé de la recourante puisqu’elle a retenu que son empêchement était plus important qu’en 2012 dans les postes « alimentation » et « entretien du logement ». Force est toutefois de constater que la recourante souffre, en plus d'atteintes d'ordre somatique, de troubles psychiques. Or, comme indiqué ci-avant, lorsqu'un assuré souffre de troubles d'ordre psychique, les constatations d'ordre médical relatives à sa capacité d'accomplir les travaux habituels ont plus de poids que l'enquête à domicile. Dans le cas particulier, le SMR ne conteste pas les diagnostics retenus par les psychiatres traitants de l'intéressée, soit les troubles de stress post-traumatique, trouble dépressif récurrent épisode actuel grave et déficience intellectuelle (cf. rapports médicaux du Dr J______ et de Mme I______ du 3 mai 2019, du Dr N______ du 7 mai 2021 et du Dr O______ du 6 juillet 2021). Il semble d'ailleurs admettre que ces diagnostics révèlent une aggravation de l'état de santé psychique de la recourante depuis la dernière demande de prestations, puisqu'en plus du diagnostic de syndrome de stress post-traumatique déjà posé en 2012 (cf. rapport médical du Dr G______ du 29 mai 2012), la recourante présente désormais un trouble dépressif récurrent, épisode actuel grave. Le SMR considère toutefois que ces diagnostics étaient connus de l'enquêtrice, qui en a tenu compte</w:t>
      </w:r>
    </w:p>
    <w:p>
      <w:r>
        <w:t>A/1779/2020 - 15/17 - dans son appréciation. Or, quoi qu'il en dise, force est de constater qu'il existe des divergences importantes entre les rapports médicaux des psychiatres traitants et les conclusions de l'enquête ménagère s'agissant des empêchements retenus. En effet, questionné par la chambre de céans, le Dr N______ a clairement indiqué que la recourante était empêchée en raison de son affection psychique de tenir le foyer et d'exercer ses activités de ménage quotidien (cf. rapport médical du 7 mai 2021). Le Dr O______ a confirmé cette appréciation, précisant que la recourante était incapable de faire le ménage, de préparer des repas, de faire des achats, de s'occuper de la lessive et de prendre en charge des enfants (cf. rapport médical du 6 juillet 2021). Quant au Dr L______, il a également relevé que la recourante présentait un niveau d'autonomie très limité et qu'elle collaborait que très partiellement dans la tenue du ménage, du nettoyage et de la lessive (cf. rapport médical du 21 avril 2021). Dès lors que ces évaluations, rendues par des psychiatres traitants, s'écartent nettement des résultats de l'enquête ménagère, en particulier en ce qui concerne le poste « lessive et entretien des vêtements » où l'enquêtrice a évalué l'empêchement à 20 %, ceux-ci ne peuvent plus être suivis, les constatations d'ordre médical relatives à la capacité d'accomplir les travaux habituels ayant plus de poids en cas de divergence lorsque l'assuré souffre de troubles d'ordre psychique (cf. supra consid. 7d). Se pose ensuite la question du taux d'incapacité de la recourante à effectuer les travaux ménagers. Sur ce point, il convient de suivre l'appréciation concordante des Drs N______ et O______, selon laquelle la recourante présente une incapacité de 100 % pour l'ensemble des tâches ménagères. En effet, dans les deux cas, l'appréciation des psychiatres repose sur un examen clinique de l'assurée. S'agissant plus particulièrement de l'appréciation du Dr N______, elle se fonde sur des constatations objectives lors de plusieurs consultations. À s'en tenir au courriel de la psychologue traitante de la recourante, versé au dossier, il semblerait que le rapport du psychiatre ait été rédigé conjointement avec Mme I______ (cf. courriel de Mme I______, produit le 30 avril 2021). S'il est vrai qu'il n'a pas été co-signé par l'intéressée, le rapport du Dr N______ reprend, en tous les cas, l'appréciation de la psychologue, telle que formulée dans son rapport du 3 mai 2019, selon laquelle, en raison des difficultés de la recourante, son mari gérait l'ensemble des démarches administratives, le ménage, l'intendance du foyer et les enfants (cf. rapport médical du Dr J______ et de Mme I______ du 3 mai 2019). Or, il convient d'admettre que la psychologue traitante, qui suit la recourante sur un plan hebdomadaire depuis 2019 (cf. rapport médical du Dr N______ du 7 mai 2021, n. 12), pouvait se prononcer de manière précise et détaillée sur les différents empêchements de la recourante dans son quotidien, et en particulier dans les travaux ménagers. Ce degré d'incapacité à effectuer les travaux ménagers correspond, au demeurant, à celui posé par les médecins généralistes traitants de la recourante, soit le Dr K______, qui suivait l'intéressée depuis décembre 2018 (cf. rapport médical AI du Dr K______ du 19 juin 2019) et la Dresse M______ (cf. certificat médical du 26 mars 2021), médecin traitante actuelle de la recourante.</w:t>
      </w:r>
    </w:p>
    <w:p>
      <w:r>
        <w:t>A/1779/2020 - 16/17 - On précisera enfin que l'appréciation du taux d'incapacité à effectuer les travaux ménagers des Drs N______ et O______ n'est pas remise en cause par celle du Dr L______, selon laquelle l'incapacité de la recourante à effectuer des tâches ménagères serait de 80 % s'agissant du ménage, du nettoyage et de la lessive et de 85 % s'agissant de la préparation des repas. Ainsi que l'a admis lui-même le psychiatre, son appréciation est le fruit de « pourcentages approximatifs subjectifs établis sur la base des données comprises dans le dossier médical » (cf. rapport médical du 21 avril 2021). À la différence des appréciations des Drs N______ et O______, celle du Dr L______, sommairement motivée, ne repose ainsi sur aucun examen clinique de l'assurée. Partant, en retenant une exigibilité de 31 %, le taux d'invalidité de la recourante s'élève à 69 %, ce qui ouvre le droit à un trois-quarts de rente conformément à l'art. 28 al. 2 LAI. Reste à déterminer le début du droit à la rente. En l'occurrence, la demande de prestations a été déposée par la recourante le 1er avril 2019. Il ressort du dossier que l'incapacité à effectuer les tâches ménagères en raison des troubles d'ordre psychique de la recourante a été attestée, pour la première fois, par un psychiatre le 3 mai 2019 (cf. rapport médical du Dr J______ et de Mme I______ du 3 mai 2019). Le droit à la rente de la recourante est ainsi né le 1er mai 2020, soit le 1er jour du mois au cours duquel s'est terminé le délai d'un an après le début de l'incapacité totale durable à effectuer les tâches ménagères (cf. art. 28 al. 1 let. b LAI), étant précisé que le délai de six mois après le dépôt de la demande de prestations s'est achevé le 1er octobre 2019 (art. 29 al. 1 LAI).</w:t>
      </w:r>
    </w:p>
    <w:p>
      <w:r>
        <w:rPr>
          <w:b/>
        </w:rPr>
        <w:t>E. 9</w:t>
      </w:r>
    </w:p>
    <w:p>
      <w:r>
        <w:t>Les considérations qui précèdent conduisent à l'admission du recours et à l'annulation de la décision entreprise. Il sera dit que la recourante a droit à un trois-quarts de rente d'invalidité dès le 1er mai 2020. Bien qu'obtenant gain de cause, la recourante, qui n'est pas représentée, n'a pas droit à des dépens. Au vu du sort du recours, il y a lieu de condamner l'intimé au paiement d'un émolument de CHF 200.- (art. 69 al. 1bis LAI). * * * * * *</w:t>
      </w:r>
    </w:p>
    <w:p>
      <w:r>
        <w:t>A/1779/2020 - 17/17 -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