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ATAS/1134/2012 vom 18. September 2012</w:t>
      </w:r>
    </w:p>
    <w:p>
      <w:r>
        <w:t>GE Cour de justice, 2012-09-18, FR</w:t>
      </w:r>
    </w:p>
    <w:p>
      <w:r>
        <w:rPr>
          <w:b/>
        </w:rPr>
        <w:t xml:space="preserve">Quelle: </w:t>
      </w:r>
      <w:r>
        <w:t>https://mcp.opencaselaw.ch/entscheid/ge_gerichte_ATAS_1134_2012</w:t>
      </w:r>
    </w:p>
    <w:p>
      <w:r>
        <w:t>FR: GE_GERICHTE ATAS/1134/2012 du 18 septembre 2012</w:t>
      </w:r>
    </w:p>
    <w:p>
      <w:r>
        <w:t>IT: GE_GERICHTE ATAS/1134/2012 del 18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A/2285/2012 4/6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En l'espèce, l'institution de prévoyance SWISS LIFE a indiqué les intérêts dus au jour du mariage, et non au jour du divorce, soit au 25 octobre 2011. La Cour de céans doit par conséquent procéder au calcul des intérêts sur la somme de 37'808 fr., du 8 juillet 1991 au 25 octobre 2011. Par conséquent, les intérêts dus à la demanderesse sur la somme de 37'808 fr. existant au 8 juillet 1991 se montent à 35'468 fr. 15. Il en est de même s'agissant de la prestation de sortie acquise par la demanderesse auprès de la CAISSE DE PREVOYANCE DU PERSONNEL ENSEIGNANT DE L'INSTRUCTION PUBLIQUE ET DES FONCTIONNAIRES DE L'ADMINISTRATION DU CANTON DE GENEVE, qui a déclaré que celle-ci s'élevait à 2'463 fr. 30, au 31 juillet 1991, sans préciser les intérêts calculés jusqu'au jour du divorce. Ainsi, les intérêts dus se montent à 2'299 fr. 40.</w:t>
      </w:r>
    </w:p>
    <w:p>
      <w:r>
        <w:rPr>
          <w:b/>
        </w:rPr>
        <w:t>E. 4</w:t>
      </w:r>
    </w:p>
    <w:p>
      <w:r>
        <w:t>En l’espèce, la Cour civile a ordonné le partage par moitié des prestations de sortie acquises durant le mariage par les demandeurs. Les dates pertinentes sont, d’une part, le 8 juillet 1991, soit celle du mariage, d’autre part, le 25 octobre 2011, soit celle à laquelle le jugement de divorce est devenu exécutoire.</w:t>
      </w:r>
    </w:p>
    <w:p>
      <w:r>
        <w:rPr>
          <w:b/>
        </w:rPr>
        <w:t>E. 05</w:t>
      </w:r>
    </w:p>
    <w:p>
      <w:r>
        <w:t>: 2) et celle-ci doit à celui-là le montant de 67'043 fr. 30 (134'086 fr. 60 : 2), de sorte que c’est le demandeur qui doit à la demanderesse le montant de 106'091 fr. 25 (173'134 fr. 55 - 67'043 fr. 30).</w:t>
      </w:r>
    </w:p>
    <w:p>
      <w:r>
        <w:rPr>
          <w:b/>
        </w:rPr>
        <w:t>E. 5</w:t>
      </w:r>
    </w:p>
    <w:p>
      <w:r>
        <w:t>Selon les documents produits, la prestation acquise pendant le mariage par le demandeur est de 346'269 fr. 05. Les avoirs accumulés par la demanderesse s'élèvent au total à 212'125 fr. 45. De ce montant, il convient de déduire ceux acquis au jour du mariage, en tenant compte des intérêts calculés jusqu'au jour du divorce, soit : 212'125 fr. 45 - [37'808 fr. + 35'468 fr. 15] - [2'463 fr. 30 + 2'299 fr. 40], ce qui donne 134'086 fr. 60 Ainsi le demandeur doit à son ex-épouse le montant de 173'134 fr. 55 (346'269 fr.</w:t>
      </w:r>
    </w:p>
    <w:p>
      <w:r>
        <w:rPr>
          <w:b/>
        </w:rPr>
        <w:t>E. 6</w:t>
      </w:r>
    </w:p>
    <w:p>
      <w:r>
        <w:t>Conformément à la jurisprudence, depuis le jour déterminant pour le partage jusqu'au moment du transfert de la prestation de sortie ou de la demeure, le conjoint</w:t>
      </w:r>
    </w:p>
    <w:p>
      <w:r>
        <w:t>A/2285/2012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A/2285/2012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