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ATAS/1134/2011 vom 28. November 2011</w:t>
      </w:r>
    </w:p>
    <w:p>
      <w:r>
        <w:t>GE Cour de justice, 2011-11-28, FR</w:t>
      </w:r>
    </w:p>
    <w:p>
      <w:r>
        <w:rPr>
          <w:b/>
        </w:rPr>
        <w:t xml:space="preserve">Quelle: </w:t>
      </w:r>
      <w:r>
        <w:t>https://mcp.opencaselaw.ch/entscheid/ge_gerichte_ATAS_1134_2011</w:t>
      </w:r>
    </w:p>
    <w:p>
      <w:r>
        <w:t>FR: GE_GERICHTE ATAS/1134/2011 du 28 novembre 2011</w:t>
      </w:r>
    </w:p>
    <w:p>
      <w:r>
        <w:t>IT: GE_GERICHTE ATAS/1134/2011 del 28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(loi fédérale sur les prestations complémentaires à l’AVS et à l’AI, du 6 octobre 2006 (loi sur les prestations complémentaires, LPC ; RS 831.30)). Elle statue aussi, en application de l'art. 134 al. 3 let. a LOJ, sur les contestations prévues à l'art. 43 de la loi cantonale sur les prestations cantonales complémentaires à l'assurance-vieillesse et survivants et à l'assurance-invalidité du 25 octobre 1968 (LPCC; RS/GE J 7 15). Sa compétence pour juger du cas d’espèce est ainsi établie. Le recours est très succinctement motivé et ne contient pas de conclusions expresses. L'on comprend toutefois à la lecture de l'écrit du 3 octobre 2011 que le recourant souhaite que la décision querellée soit annulée. Par ailleurs, le recourant expose s'être départi de plusieurs sommes entre 2006 et 2010 et ne pas détenir de pièces à cet égard. Bien que sommairement motivé, le recours est ainsi recevable (art. 60 et 61 let. b LPGA).</w:t>
      </w:r>
    </w:p>
    <w:p>
      <w:r>
        <w:t>A/2822/2011 - 4/7 -</w:t>
      </w:r>
    </w:p>
    <w:p>
      <w:r>
        <w:rPr>
          <w:b/>
        </w:rPr>
        <w:t>E. 2</w:t>
      </w:r>
    </w:p>
    <w:p>
      <w:r>
        <w:t>La question litigieuse en l'espèce est de savoir si l'intimé pouvait retenir, dans la fortune du recourant, la somme de 143'247 fr. 65 à titre de biens dessaisis. a) Au niveau fédéral, selon l’art 4 LPC,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9 al. 1 LPC). Conformément à l'art. 11 al. 1 let. g LPC, les revenus déterminants comprennent notamment les ressources et parts de fortune dont un ayant droit s'est dessaisi.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131 V 329 consid. 4.3; 123 V 35 consid. 1). La portée du principe inquisitoire applicable au domaine des assurances sociales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 consid. 3.2, 125 V 195 consid. 2).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 non publié P 4/05 du 29 août 2005 consid. 5.3.2; VSI 1994 p. 227 consid. 4b; VSI 1995, p. 176).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On présume ainsi que l'ayant droit, à supposer qu'il ne se soit pas dessaisi de sa fortune, en aurait mis une partie à contribution pour</w:t>
      </w:r>
    </w:p>
    <w:p>
      <w:r>
        <w:t>A/2822/2011 - 5/7 -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(cf. ATF 118 V 150 consid. 3 p. 153 ss). Il n'existe pas de limite temporelle à la prise en compte d'un dessaisissement (cf. ATF 120 V 182 consid. 4f)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ATF np P 12/04 du 14 septembre 2005, consid. 4.1).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b)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Par ailleurs, la jurisprudence en matière de biens dessaisis s’applique mutatis mutandis en matière de prestations complémentaires cantonales (ATAS 1290/2010 du 14 décembre 2010). c) Il ressort du dossier - et n'est au demeurant pas contesté par le recourant - qu'il a perçu 61'654 fr. 15 à la suite de la vente d'un bien immobilier en avril 2006 ainsi que la somme de 117'128 fr. 25 à titre de rétroactif de rentes AI en septembre 2006. Ces éléments de fortune d'au total de près de 180'000 fr. ne se retrouvent toutefois pas dans la fortune du recourant. Ni le bordereau de taxation fiscale de 2007 ni les bordereaux subséquents n'en font état. Selon les explications données dans un premier temps par le recourant, ce montant avait été utilisé à hauteur de 24'000 fr. pour des vêtements, de 23'000 fr. à titre "de crédit aux poursuites", 43'500 fr. pour rembourser les frais de baptême du fils de son beau-frère, 18'700 fr. pour rembourser un prêt accordé par son frère, 45'000 fr. de vêtements pour le magasin</w:t>
      </w:r>
    </w:p>
    <w:p>
      <w:r>
        <w:t>A/2822/2011 - 6/7 - qui a été brûlé et 23'000 fr. pour financer les vacances, le reste (soit environ 1'600 fr.) étant dévolu à l'entretien de ses enfants. Or, il apparaît que le paiement d'aucun de ces montants - même ceux qui se rapportent à des sommes importantes telles que les dettes de poursuites, les dettes résultant de prêts ou les montants se rapportant à l'investissement dans son magasin - n'est attesté par une pièce, d'une part. D'autre part, il est douteux que l'engagement de ces frais se fonde sur une obligation juridique, en particulier le paiement de la somme de 43'500 fr., qui s'apparente à une donation. En effet, l'on conçoit difficilement que la prise en charge des frais de la fête de baptême/circoncision du fils du beau-frère du recourant relève d'une obligation légale. S'agissant des montants prétendument consacrés à l'entretien de la famille, à savoir de 24'000 fr. pour l'acquisition de vêtements et de 23'000 fr. pour les vacances et le reste d'environ 1'600 fr. pour l'entretien des enfants, il convient de s'en tenir au forfait de 10'000 fr. par année que l'art. 17a OPC-AVS/AI retient à titre de dépenses consacrées pour subvenir aux besoins propres de l'assuré et de sa famille. Dans la procédure de recours, le recourant expose avoir assumé des frais de 15'000 fr. en 2007 pour la fête de son fils (circoncision) au Maroc et avoir, en 2010, "payé pour ma mère, les soins, les médicaments, + nourriture + entretien". Il soutient ne disposer d'aucune pièce à cet égard non plus. L'absence de tout élément de preuve, notamment quant au soutien financier apporté à la mère du recourant, ne permet pas de retenir que celui-ci serait rendu vraisemblable de manière prépondérante. Au vu de ce qui précède, l'intimé a retenu, à juste titre, les sommes perçues en 2006 comme biens dessaisis et a, correctement, procédé au rabattement de 10'000 fr. de ces sommes dès la deuxième année. Le recours est ainsi mal fondé et doit être rejeté.</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