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ATAS/1134/2007 vom 18. Oktober 2007</w:t>
      </w:r>
    </w:p>
    <w:p>
      <w:r>
        <w:t>GE Cour de justice, 2007-10-18, FR</w:t>
      </w:r>
    </w:p>
    <w:p>
      <w:r>
        <w:rPr>
          <w:b/>
        </w:rPr>
        <w:t xml:space="preserve">Quelle: </w:t>
      </w:r>
      <w:r>
        <w:t>https://mcp.opencaselaw.ch/entscheid/ge_gerichte_ATAS_1134_2007</w:t>
      </w:r>
    </w:p>
    <w:p>
      <w:r>
        <w:t>FR: GE_GERICHTE ATAS/1134/2007 du 18 octobre 2007</w:t>
      </w:r>
    </w:p>
    <w:p>
      <w:r>
        <w:t>IT: GE_GERICHTE ATAS/1134/2007 del 18 ottobre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Contrairement à ce que prétend le recourant,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du 7 mars 2007, sont postérieures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w:t>
      </w:r>
    </w:p>
    <w:p>
      <w:r>
        <w:t>A/1616/2007 - 8/17 -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Avant d'examiner le fond du litige, il y a lieu de trancher la question du caractère inconvenant des écritures du recourant dont l'intimée réclame la rectification par son auteur, sous peine d'irrecevabilité. L'intimée invoque à cet égard l'art. 42 al. 6 LTF. Cependant, la loi de procédure administrative genevoise du 12 décembre 1985, applicable devant le Tribunal de céans, ne retient pas la cause d'irrecevabilité de l'art. 42 al. 6 LTF; la question de savoir si le pouvoir d'appréciation laissé au juge permettrait d'entrer en matière sur la demande de l'OCAI peut quoi qu'il en soit rester ouverte en l'espèce. En effet, quand bien même le contenu du mémoire de recours doit être qualifié d'inconvenant au sens du droit fédéral susmentionné, le principe de célérité de la procédure consacré par l'art. 61 let. a LPGA impose que la présente cause, instruite à suffisance, soit jugée sans plus attendre. Il ne sera dès lors pas donné suite à la requête de l'intimé. Pour le surplus, le recours interjeté respectant les forme et délai prévus par la loi (art. 56 à 60 LPGA), il y a lieu de le déclarer recevable.</w:t>
      </w:r>
    </w:p>
    <w:p>
      <w:r>
        <w:rPr>
          <w:b/>
        </w:rPr>
        <w:t>E. 4</w:t>
      </w:r>
    </w:p>
    <w:p>
      <w:r>
        <w:t>Quant au fond, le litige porte sur le degré d'invalidité de l'assuré et sur son droit éventuel à des mesures professionnelles.</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t>A/1616/2007 - 9/17 -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w:t>
      </w:r>
    </w:p>
    <w:p>
      <w:r>
        <w:t>A/1616/2007 - 10/17 -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Le recourant fait grief à l'administration d'avoir fondé son appréciation de la capacité de travail sur le rapport du docteur J____________, médecin du SMR. Il estime en effet, sans toutefois apporter d'argument particulier, que ledit rapport ne saurait se voir reconnaître pleine valeur probante. Ce point de vue ne peut être suivi. Tout d'abord, le rapport d'examen du docteur J____________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 teur, au demeurant titulaire d'une spécialisation en chirurgie, a été confirmé dans le rapport d'examen final du médecin d'arrondissement de la SUVA. Le rapport du docteur J____________ n'est dès lors pas un avis isolé. Ensuite, le seul fait que ledit rapport ne fasse pas mention des troubles psychiques avancés par le recourant ne lui ôte nul crédit; d'une part, il s'agit d'un rapport établi à la suite d'un examen purement somatique, d'autre part, comme on le verra ci-dessous, l'absence de mention de troubles psychiques ne fait que renforcer la crédibilité à accorder au rapport du SMR. Enfin, l'argument du recourant selon lequel il est impossible de lui reconnaître une capacité de travail entière en 2005 eu égard aux nombreuses opérations chirurgicales subies au cours de cette année doit être rejeté, dès lors qu'il ne correspond manifestement pas à la réalité. Le recourant n'a en effet subit qu'une seule intervention en décembre 2005 (correction du moignon d'amputation par le docteur L____________). On retiendra donc que, sur le plan somatique, le recourant a recouvré une capacité de travail résiduelle de 80 % à plein rendement dès le 1er avril 2005, soit 3 mois après le début de l'amélioration de l'état de santé médicalement attestée (cf. art. 88a al. 1 LAI), puis de 100 % suite à l'amélioration et à la stabilisation de son état de santé constatées par le médecin d'arrondissement de la SUVA et reconnues par le SMR dès le 1er novembre 2006, soit 3 mois après l'examen médical effectué par le docteur K____________ pour le compte de la SUVA. Les avis contraires émanant des médecins traitant du recourant ne sont pas de nature à remettre en cause les rapports clairs et probants des médecins tant du SMR que de la SUVA, dès lors que leurs conclusions ne sont pas étayées par une motivation suffisante et convaincante.</w:t>
      </w:r>
    </w:p>
    <w:p>
      <w:r>
        <w:t>A/1616/2007 - 11/17 -</w:t>
      </w:r>
    </w:p>
    <w:p>
      <w:r>
        <w:rPr>
          <w:b/>
        </w:rPr>
        <w:t>E. 8</w:t>
      </w:r>
    </w:p>
    <w:p>
      <w:r>
        <w:t>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 Le docteur H____________, psychiatre du recourant, pose le diagnostic de trouble de l'adaptation : réaction mixte, anxieuse et dépressive. Dans son premier avis médical du 17 février 2006, il ne se prononce pas clairement sur la capacité de travail de son patient, se contentant de mentionner que ce dernier désire ardemment reprendre une activité professionnelle tout en indiquant qu'à son avis, une activité</w:t>
      </w:r>
    </w:p>
    <w:p>
      <w:r>
        <w:t>A/1616/2007 - 12/17 - sédentaire aurait une influence négative sur son équilibre moral. Dans un second avis du mois de septembre 2006, il relate une aggravation de l'état de santé et conclut à une incapacité de travail totale et durable en raison de facteurs liés à sa santé psychique, physique et à son âge, tout en faisant état d'une diminution de la médication. Enfin, il mentionne une nouvelle aggravation en avril 2004 due à la décision de rejet de rente de l'OCAI. Force est de constater, à la lecture du dossier instruit par l'intimé, que le docteur H____________ est l'unique médecin à faire mention de troubles d'ordre psychique. En effet, aucun des praticiens ayant examiné le recourant ne relate un quelconque problème de santé psychique. Bien au contraire, à la question de savoir si son patient présente des troubles psychiques, le docteur G____________ répond à deux reprises par la négative (rapports des 6 janvier 2005 et 7 septembre 2005). Alors qu'il avait déjà entamé une psychothérapie, le recourant a été examiné par le docteur J____________, médecin du SMR, et par le docteur K____________, médecin d'arrondissement de la SUVA. Or, ces praticiens, forts d'une expérience certaine en matière d'examen clinique, n'ont relevé aucun trouble au niveau psychique. Quand bien même ils ne sont ni l'un ni l'autre spécialisés en psychiatrie, il apparaît plus que douteux que des troubles psychiques ayant une influence déterminante sur la capacité de travail leur aient complètement échappé. A ce propos, il convient également de constater que le recourant lui-même n'a rapporté aucune plainte du registre psychique (particulièrement thymique et anxieux), tant dans ses entretiens avec les médecins susmentionnés ou avec les collaborateurs de l'OCAI, que dans ses nombreuses écritures à l'intimé précédant la contestation du rapport d'examen rédigé par le docteur J____________. Il suit de ce qui précède qu'il n'est manifestement pas établi, au degré de la vraisemblance prépondérante, que le recourant serait atteint de troubles de la santé psychique au point d'être limité dans sa capacité de travail au sens de la jurisprudence citée ci-dessus. Les courriers de son psychiatre sont contradictoires (aggravation de l'état de santé, mais diminution de la médication, notamment) et peu clairs (on ne comprend en particulier pas pour quel motif l'exercice d'une activité sédentaire serait préjudiciable à l'équilibre moral du recourant). Ils ne comportent que de rares éléments d'anamnèse et aucune mention des critères ayant conduit le médecin à poser un diagnostic. Quant à l'incapacité de travail attestée, elle tient compte de considérations étrangères au domaine de la psychiatrie, ainsi qu'à celui de l'assurance-invalidité (âge, entre autres), d'une part et, d'autre part, elle est décrite comme réactionnelle aux décisions et prises de position de l'organe d'assurance intimé ce qui présuppose un caractère non durable. Le recours à la position adoptée par la SUVA n'est également d'aucun secours à l'intéressé, puisque cette assurance se limite à prendre en charge les médicaments prescrits par le psychiatre, ainsi que des consultations itératives chez ce dernier,</w:t>
      </w:r>
    </w:p>
    <w:p>
      <w:r>
        <w:t>A/1616/2007 - 13/17 - niant par-là l'importance des troubles psychiques avancés (cf. courrier de la SUVA du 23 avril 2007; pce OCAI 145) Une appréciation anticipée des preuves permet dès lors de conclure à l'absence d'atteinte à la santé mentale nécessitant un complément d'instruction, ce d'autant plus que les troubles de l'adaptation tels que diagnostiqués en l'espèce (F43.22 selon la classification internationale des maladies psychiques - CIM 10) ne présentent pas de caractère invalidant de par la légèreté des symptômes (cf. CIM-10 p. 94 et 91). La conclusion du recourant tendant au renvoi du dossier à l'intimé pour complément d'instruction doit donc être rejetée.</w:t>
      </w:r>
    </w:p>
    <w:p>
      <w:r>
        <w:rPr>
          <w:b/>
        </w:rPr>
        <w:t>E. 9</w:t>
      </w:r>
    </w:p>
    <w:p>
      <w:r>
        <w:t>Il convient à présent de se prononcer sur le calcul du taux d'invalidité effectué par l'OCAI. 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w:t>
      </w:r>
    </w:p>
    <w:p>
      <w:r>
        <w:t>A/1616/2007 - 14/17 -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Le début du droit aux prestations, ainsi que le taux d'invalidité (100 %) retenu pour la période courant jusqu'au 31 mars 2005 n'étant pas contestés, il n'y a pas lieu d'y revenir. c) En ce qui concerne la période subséquente, le calcul effectué par l'OCAI ne porte pas le flanc à la critique. En effet, le revenu sans invalidité pris en considération est celui communiqué par l'employeur du recourant et n'est pas contesté. Quant au revenu d'invalide, le recourant n'ayant pas repris d'activité lucrative, c'est à juste titre que l'intimé l'a déterminé sur la base des données statistiques. Le montant retenu (référence au TA1 de l'Enquête suisse sur la structure des salaires [ESS]) correspond aux activités simples et répétitives offertes par les secteurs de la production et des services. Or, on doit admettre avec l'intimé qu'il existe un nombre significatif de postes de travail sédentaires, n'exigeant pas de port de charges ni de vision binoculaire dans les domaines susmentionnés. Contrairement à ce qu'allègue le recourant, il a dès lors été tenu compte non seulement de ses aptitudes professionnelles, mais également de son âge et de ses limitations fonctionnelles, puisque l'OCAI a procédé à l'abattement maximal de 25 % autorisé par la jurisprudence. d) Enfin, il convient de constater que l'intimé a procédé à une application correcte de l'art. 88a al. 1 RAI.</w:t>
      </w:r>
    </w:p>
    <w:p>
      <w:r>
        <w:t>A/1616/2007 - 15/17 - En conséquence, le calcul du taux d'invalidité doit être confirmé et le recours rejeté sur ce point.</w:t>
      </w:r>
    </w:p>
    <w:p>
      <w:r>
        <w:rPr>
          <w:b/>
        </w:rPr>
        <w:t>E. 10</w:t>
      </w:r>
    </w:p>
    <w:p>
      <w:r>
        <w:t>En ce qui concerne la conclusion tendant à l'octroi de mesures d'ordre professionnel, notamment d'un reclassement, il convient également de rejeter le recours pour les motifs exposés ci-après.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En l'espèce, force est de constater que le recourant, s'il remplit à l'évidence les conditions objectives mises à l'octroi d'un reclassement (nécessité d'un changement de profession, taux d'invalidité supérieur à 20 %), ne présente pas l'aptitude subjective nécessaire. En effet, non seulement il s'est opposé, par son comportement, à la mise en œuvre de mesures de réadaptation, mais il s'estime en outre totalement incapable de travailler et ce, dans tout type d'activité. c) Dans de telles circonstances, il convient de considérer que la mise en œuvre d'un reclassement professionnel, qui requiert une certaine motivation de la part de la personne concernée, n'est vraisemblablement pas de nature à sauvegarder ou améliorer les capacités de gain du recourant. Cela étant, d'autres mesures d'ordre professionnel pourraient être accordées par l'intimé, comme ce dernier l'a à juste titre mentionné dans ses décisions contestées. Le recourant peut en effet s'adresser à l'OCAI pour demander l'octroi d'une aide au placement.</w:t>
      </w:r>
    </w:p>
    <w:p>
      <w:r>
        <w:rPr>
          <w:b/>
        </w:rPr>
        <w:t>E. 11</w:t>
      </w:r>
    </w:p>
    <w:p>
      <w:r>
        <w:t>Reste à examiner les griefs du recourant à l'encontre du refus de l'OCAI de lui accorder des intérêts moratoires sur les prestations allouées. a) Entrée en vigueur le 1er janvier 2003 (voir également ATF 130 V 329), la LPGA prévoit expressément une réglementation en matière d'intérêts moratoires, réglementation qui demeure particulière et propre au droit des assurances sociales</w:t>
      </w:r>
    </w:p>
    <w:p>
      <w:r>
        <w:t>A/1616/2007 - 16/17 - (cf. KIESER, ATSG-Kommentar, Zurich 2003, ch. 3 ad art. 26). Selon l'art. 26 al. 2 LPGA, des intérêts moratoires sont en effet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(ATF 130 V 334 consid. 6.2). b) Le recourant allègue, à l'appui de sa conclusion relative au versement d'intérêts moratoires, avoir contacté l'OCAI pour annuler le rendez-vous fixé par le technicien en réadaptation et laissé un message sur le répondeur téléphonique de ce dernier afin d'obtenir une nouvelle convocation. Or, la thèse du recourant, au demeurant alléguée en procédure de recours seulement, ne résiste pas à l'examen. Elle n'est en effet étayée par aucun document au dossier. En particulier, le rapport du service de la réadaptation du 17 juillet 2006 ne relate pas d'appel téléphonique de l'assuré. L'ensemble du dossier démontre plutôt, au contraire de ce qu'avance le recourant devant le Tribunal de céans, qu'il n'était nullement intéressé par des mesures de réadaptation dès lors qu'il requérait l'octroi d'une rente entière d'invalidité. Quant à l'examen médical final de la SUVA, dont le recourant s'est prévalu par courrier du 13 juillet 2006 pour confirmer l'annulation du rendez-vous en réadaptation demandée par le docteur I____________ deux jours plus tôt, il n'était nullement nécessaire pour entreprendre les premières démarches en vue d'un éventuel octroi de mesures professionnelles. Le service de la réadaptation disposait d'un rapport médical du SMR complet sur lequel il pouvait se fonder pour entreprendre toutes démarches utiles, ce d'autant plus que ledit rapport médical n'avait fait l'objet d'aucune contestation jusqu'alors. Le fait que l'intéressé n'ait pas communiqué le rapport médical de la SUVA à réception tend également à démontrer qu'il n'entendait nullement collaborer avec le service de la réadaptation. C'est donc sans motif pertinent que le recourant a annulé le rendez-vous fixé par la réadaptation. Par ailleurs, on relèvera encore que l'intéressé a fait des difficultés pour transmettre les documents qui lui étaient réclamés par la caisse de compensation compétente pour calculer la rente d'invalidité (voir à ce propos le courrier du recourant du 20 décembre 2006 dans lequel il déclare refuser de traiter avec certains collaborateurs). c) Dans ces circonstances, c'est à bon droit que l' intimé a refusé d'octroyer des intérêts au recourant sur les prestations dues.</w:t>
      </w:r>
    </w:p>
    <w:p>
      <w:r>
        <w:rPr>
          <w:b/>
        </w:rPr>
        <w:t>E. 12</w:t>
      </w:r>
    </w:p>
    <w:p>
      <w:r>
        <w:t>L'émolument, fixé à 200 fr., est mis à la charge du recourant qui succombe (art. 69 al. 1 bis LAI).</w:t>
      </w:r>
    </w:p>
    <w:p>
      <w:r>
        <w:t>A/1616/2007 - 17/17 -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