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ATAS/1133/2014 vom 5. November 2014</w:t>
      </w:r>
    </w:p>
    <w:p>
      <w:r>
        <w:t>GE Cour de justice, 2014-11-05, FR</w:t>
      </w:r>
    </w:p>
    <w:p>
      <w:r>
        <w:rPr>
          <w:b/>
        </w:rPr>
        <w:t xml:space="preserve">Quelle: </w:t>
      </w:r>
      <w:r>
        <w:t>https://mcp.opencaselaw.ch/entscheid/ge_gerichte_ATAS_1133_2014</w:t>
      </w:r>
    </w:p>
    <w:p>
      <w:r>
        <w:t>FR: GE_GERICHTE ATAS/1133/2014 du 5 novembre 2014</w:t>
      </w:r>
    </w:p>
    <w:p>
      <w:r>
        <w:t>IT: GE_GERICHTE ATAS/1133/2014 del 5 novembre 2014</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t>A/2615/2014 - 3/5 -</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 pour l’année 2014.</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2014 a été fixée par le Conseil d’Etat dans sa séance du 24 juillet 2013 à CHF 26.- par salarié.</w:t>
      </w:r>
    </w:p>
    <w:p>
      <w:r>
        <w:rPr>
          <w:b/>
        </w:rPr>
        <w:t>E. 5</w:t>
      </w:r>
    </w:p>
    <w:p>
      <w:r>
        <w:t>En l’occurrence, il n’est pas contesté que le recourant est affiliée à une caisse d’allocations familiales et tenue de payer des contributions, de sorte qu’il est astreint à la cotisation de la LFP.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le recourant comptait bien huit salariés en décembre 2012, selon l’attestation de salaire 2012 établie le 22 janvier 2013 dûment signée par le recourant. C’est dès lors à juste titre que l’intimée lui a réclamé le paiement de CHF 208.- à titre de cotisation LFP pour l’année 2014. Les arguments soulevés par le recourant quant au taux d'occupation des salariés sont à cet égard totalement infondés.</w:t>
      </w:r>
    </w:p>
    <w:p>
      <w:r>
        <w:t>A/2615/2014 - 4/5 -</w:t>
      </w:r>
    </w:p>
    <w:p>
      <w:r>
        <w:rPr>
          <w:b/>
        </w:rPr>
        <w:t>E. 6</w:t>
      </w:r>
    </w:p>
    <w:p>
      <w:r>
        <w:t>Entièrement mal fondé, le recours est rejeté.</w:t>
      </w:r>
    </w:p>
    <w:p>
      <w:r>
        <w:t>A/2615/2014 - 5/5 -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