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ATAS/1133/2010 vom 10. November 2010</w:t>
      </w:r>
    </w:p>
    <w:p>
      <w:r>
        <w:t>GE Cour de justice, 2010-11-10, FR</w:t>
      </w:r>
    </w:p>
    <w:p>
      <w:r>
        <w:rPr>
          <w:b/>
        </w:rPr>
        <w:t xml:space="preserve">Quelle: </w:t>
      </w:r>
      <w:r>
        <w:t>https://mcp.opencaselaw.ch/entscheid/ge_gerichte_ATAS_1133_2010</w:t>
      </w:r>
    </w:p>
    <w:p>
      <w:r>
        <w:t>FR: GE_GERICHTE ATAS/1133/2010 du 10 novembre 2010</w:t>
      </w:r>
    </w:p>
    <w:p>
      <w:r>
        <w:t>IT: GE_GERICHTE ATAS/1133/2010 del 10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forme et délai légaux, le recours est recevable (art. 56 à 60 LPGA).</w:t>
      </w:r>
    </w:p>
    <w:p>
      <w:r>
        <w:rPr>
          <w:b/>
        </w:rPr>
        <w:t>E. 3</w:t>
      </w:r>
    </w:p>
    <w:p>
      <w:r>
        <w:t>Est litigieux en l'espèce le droit du recourant à des prestations de l'assurance- invalidité sous la forme d'une rente.</w:t>
      </w:r>
    </w:p>
    <w:p>
      <w:r>
        <w:rPr>
          <w:b/>
        </w:rPr>
        <w:t>E. 4</w:t>
      </w:r>
    </w:p>
    <w:p>
      <w:r>
        <w:t>a)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b)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cette novelle n’a pas apporté de modifications substantielles (cf. Message concernant la modification de la loi fédérale sur l’assurance-invalidité [5ème révision], du 22 juin 2005, FF 2005 4215, p. 4322). En revanche, les nouvelles dispositions sont applicables, en ce qui concerne les éventuelles mesures d'ordre professionnel, la décision entreprise étant postérieure à l’entrée en vigueur de la 5ème révision.</w:t>
      </w:r>
    </w:p>
    <w:p>
      <w:r>
        <w:t>A/2094/2010 - 11/16 -</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 rente s’il est invalide à 50% au moins ou à un quart de rente s’il est invalide à 40% au moins.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w:t>
      </w:r>
    </w:p>
    <w:p>
      <w:r>
        <w:t>A/2094/2010 - 12/16 -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(arrêt du Tribunal fédéral du 14 avril 2003, en la cause I 39/03, consid. 3.2 ;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cas de divergence d’opinion entre médecins du SMR et médecins traitants, cela ne signifie pas encore qu'il soit de manière générale</w:t>
      </w:r>
    </w:p>
    <w:p>
      <w:r>
        <w:t>A/2094/2010 - 13/16 - nécessaire de mettre en œuvre une nouvelle expertise. La valeur probante des rapports médicaux des uns et des autres doit bien plutôt s’apprécier au regard des critères exposés précédemment (ATFA non publié du 24 août 2006, I 938/05, consid. 3.2). Enfin, les rapports d'examen réalisés par le SMR selon l'art. 49 al. 2 RAI ne sont pas des expertises au sens de l'art. 44 LPGA et ne sont pas soumis aux mêmes exigences formelles (ATF 135 V 258 consid. 3.4). Pour autant, leur valeur probatoire est comparable à celle d'expertises, dans la mesure où elles satisfont aux exigences, définies par la jurisprudence, qui sont posées à une expertise médicale (ATFA non publié du 27 juillet 2010, 9C_104/2010, consid. 3.2.1 ; ATFA non publié du 6 juillet 2009, 9C_204/2009, consid. 3.3.2 et les références, passage non publié in ATF 135 V 254).</w:t>
      </w:r>
    </w:p>
    <w:p>
      <w:r>
        <w:rPr>
          <w:b/>
        </w:rPr>
        <w:t>E. 7</w:t>
      </w:r>
    </w:p>
    <w:p>
      <w:r>
        <w:t>a) En l'espèce, force est de constater que le rapport médical du SMR du 13 février 2009 répond aux exigences jurisprudentielles relatives à la valeur probante des expertises médicales. En effet, les points litigieux importants ont fait l’objet d’une étude fouillée et le rapport se fonde sur des examens complets. Il prend également en considération les plaintes exprimées de l'assuré et a été établi en pleine connaissance du dossier (anamnèse). Enfin, la description du contexte médical est claire et les conclusions du Dr F___________ sont bien motivées. D'ailleurs, hormis les questions du taux d'incapacité de travail et de l'atteinte psychique qui seront abordées ultérieurement, force est de constater que les conclusions du médecin du SMR, et en particulier relatifs aux diagnostics, sont superposables à celles des médecins-traitants de l'assuré. En effet, la Dresse A___________ a posé les diagnostics de gonarthrose bilatérale, de chondropathie rotulienne et un état anxieux dépressif. Quant au Dr E___________, il a relevé les diagnostics de troubles statiques et fonctionnels du rachis, prédominant au niveau du bassin, de très probable syndrome fémoro-patellaire du genou gauche existant depuis 1999, et d'un status post-contusion du genou gauche existant probablement depuis 2002. Les diagnostics retenus par le Dr F___________ du SMR, avec répercussion sur la capacité de travail, sont les suivants: syndrome fémoro- patellaire et gonarthrose débutant du compartiment interne gauche. Quant aux diagnostics sans répercussion sur la capacité de travail, il s'agit de lombalgies intermittentes, dans un contexte de trouble statique et d'une ancienne maladie de Scheuermann. Aussi, tous les médecins admettent l'atteinte au genou gauche et les lombalgies. En outre, le recourant n'apporte aucun argument remettant en cause les conclusions du rapport SMR. En particulier, il n'indique pas en quoi les conclusions de ce rapport ne seraient pas soutenables et il ne met pas en évidence des éléments objectivement vérifiables - de nature notamment clinique ou diagnostique - qui auraient été ignorés dans le cadre de l'appréciation et qui seraient suffisamment pertinents pour le remettre en cause (cf. ATFA du 27 juillet 2010, 9C_104/2010, consid. 3.2.2). De plus, les médecins-traitants du recourant ne contestent en aucune</w:t>
      </w:r>
    </w:p>
    <w:p>
      <w:r>
        <w:t>A/2094/2010 - 14/16 - façon les conclusions du rapport SMR, en particulier quant aux taux d'incapacité retenus. L'argumentation du recourant se limite à invoquer que, selon le Dr E___________, le pronostic est défavorable, élément qui ne suffit pas à ouvrir le droit à des prestations de l'assurance-invalidité. De plus, ce médecin ne prend pas clairement position sur la capacité de travail du recourant. La seule opinion divergente de la Dresse A___________, qui se limite à invoquer une capacité résiduelle de 50 % en tant qu'ouvrier en bâtiment, sans prendre en considération le travail de nettoyeur ou de vendeur en épicerie, ni contester les taux retenus par le SMR, ne permet pas de remettre en cause les conclusions de ce rapport. À cet égard, c'est à juste titre que le SMR a retenu comme activité habituelle, celle de nettoyeur, cas échéant de vendeur en épicerie, est non celle d'ouvrier en bâtiment. En effet, de 2004 à 2007, le recourant a officié en tant que nettoyeur, de sorte qu'il y a lieu d'admettre qu'il s'agit de son activité habituelle. S'agissant des troubles respiratoires allégués, force est de constater qu'aucun examen n'a été effectué par la Dresse A___________ et que le SMR n'a pas constaté d'atteintes à ce sujet pouvant causer une incapacité de travail. Quant à l'IRM effectué le 7 juin 2010, il n'est pas démontré qu'il s'agit d'une aggravation de son état, ni même, dans cette hypothèse, quelles en seraient les conséquences sur la capacité de travail du recourant. De surcroît, aucun des médecins auxquels la Dresse A___________ se référait pour étayer ses avis médicaux n'ont répondu dans le cadre de la procédure (le Dr C___________, le Dr B___________ et le Dr B___________), dès lors que le recourant ne les avait consultés qu'à une seule reprise. Enfin, et contrairement aux médecins-traitants du recourant, le Dr F___________ a bien expliqué les motifs pour lesquels il retenait une capacité de travail de 80 % dans l'activité habituelle, et de 100 % dans une activité adaptée. En effet, il existe une discordance majeure entre les allégations de l'assuré, ses difficultés rencontrées dans les différentes activités professionnelles, même physiquement légères, et les constations radiocliniques objectivables. Les troubles dégénératifs au niveau du genou gauche sont légers et n'expliquent pas une incapacité de travail de 50 % dans une activité d'employé d'épicerie ou d'agent de nettoyage. Partant, à ce stade, il y a lieu de constater que les avis des médecins-traitants ne sont pas propres à remettre en cause le rapport du Dr F___________. b) Sur le psychique, force est de constater qu'aucune pièce du dossier ne permet d'établir que le trouble anxieux avancé par la Dresse A___________ a une influence sur la capacité de travail du recourant. Quant au Dr B___________, il a indiqué que l'assuré l'avait consulté qu'à une seule reprise en date du 10 décembre 2001. Cela ne ressort pas plus de l'attestation médicale du 2 septembre 2010 établie par la Dresse J___________, qui se limite à poser le diagnostic d'un épisode dépressif moyen, sans préciser si cette atteinte a des conséquences sur la capacité de</w:t>
      </w:r>
    </w:p>
    <w:p>
      <w:r>
        <w:t>A/2094/2010 - 15/16 - travail du recourant. Qui plus est, la Dresse J___________ indique que le trouble dépressif moyen existe depuis juin 2010, soit postérieurement à la décision querellée. Aussi, il appartient cas échéant à l'assuré de saisir l'intimé d'une nouvelle demande à ce sujet.</w:t>
      </w:r>
    </w:p>
    <w:p>
      <w:r>
        <w:rPr>
          <w:b/>
        </w:rPr>
        <w:t>E. 8</w:t>
      </w:r>
    </w:p>
    <w:p>
      <w:r>
        <w:t>Au vu de ce qui précède, il y a lieu de constater que les conclusions du rapport du SMR ont pleine valeur probante, dès lors que ses résultats sont convaincants, que ses conclusions sont motivées, que cet avis ne contient pas de contradictions et qu'aucun indice concret ne permet de mettre en cause son bien-fondé. Il n'y a donc pas lieu de s'en écarter. Cet avis doit être privilégié à l'avis des médecins-traitants, pour les motifs précédemment invoqués. Il en découle que la mise en œuvre d'une expertise bi-disciplinaire telle que requise pas le recourant n'a pas lieu d'être. Dès lors que dans l'activité habituelle d'agent de nettoyage, la capacité de travail exigible est de 80 % et, dans une activité adaptée, elle est de 100 %, le droit à une rente n'est pas ouvert. Il n'est pas nécessaire de procéder à une comparaison des revenus, un taux d'incapacité de 80 % dans l'activité habituelle n'ouvrant pas le droit à une rente d'invalidité.</w:t>
      </w:r>
    </w:p>
    <w:p>
      <w:r>
        <w:rPr>
          <w:b/>
        </w:rPr>
        <w:t>E. 9</w:t>
      </w:r>
    </w:p>
    <w:p>
      <w:r>
        <w:t>Partant, le recours sera rejeté.</w:t>
      </w:r>
    </w:p>
    <w:p>
      <w:r>
        <w:rPr>
          <w:b/>
        </w:rPr>
        <w:t>E. 10</w:t>
      </w:r>
    </w:p>
    <w:p>
      <w:r>
        <w:t>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t>A/2094/2010 - 16/16 -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