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ATAS/1132/2017 vom 12. Dezember 2017</w:t>
      </w:r>
    </w:p>
    <w:p>
      <w:r>
        <w:t>GE Cour de justice, 2017-12-12, FR</w:t>
      </w:r>
    </w:p>
    <w:p>
      <w:r>
        <w:rPr>
          <w:b/>
        </w:rPr>
        <w:t xml:space="preserve">Quelle: </w:t>
      </w:r>
      <w:r>
        <w:t>https://mcp.opencaselaw.ch/entscheid/ge_gerichte_ATAS_1132_2017</w:t>
      </w:r>
    </w:p>
    <w:p>
      <w:r>
        <w:t>FR: GE_GERICHTE ATAS/1132/2017 du 12 décembre 2017</w:t>
      </w:r>
    </w:p>
    <w:p>
      <w:r>
        <w:t>IT: GE_GERICHTE ATAS/1132/2017 del 12 dicembre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chômage obligatoire et l'indemnité en cas d'insolvabilité du 25 juin 1982 (LACI - RS 837.0). Sa compétence pour juger du cas d’espèce est ainsi établie.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Déposé le 13 juillet 2017 contre une décision sur opposition du 12 juin 2017, le présent recours a été interjeté en temps utile (art. 60 LPGA). Il respecte les exigences de forme et de contenu prescrites par l’art. 61 let. b LPGA (cf. aussi art. 89B LPA). Touché par la décision attaquée et ayant un intérêt digne de protection à son annulation ou sa modification, le recourant a qualité pour recourir (art. 59 LPGA).</w:t>
      </w:r>
    </w:p>
    <w:p>
      <w:r>
        <w:t>A/3029/2017 - 8/12 - c. Le présent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w:t>
      </w:r>
    </w:p>
    <w:p>
      <w:r>
        <w:t>A/3029/2017 - 9/12 - où les enfants sont scolarisés. Davantage de poids doit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3. a. Comme la décision initiale qu’elle confirme, la décision attaquée retient, sur la base d’un rapport d’enquête établi par un inspecteur de l’OCE, que le recourant ne remplissait pas la condition du domicile et de la résidence effective en Suisse, parce qu’il était domicilié à Annemasse, en France voisine, où se trouvaient ses centres d’intérêts personnels. b. Il n’est pas contesté que le recourant s’est établi en Suisse, dans le canton de Genève, en décembre 2009 et a habité, à teneur des données résultant de l’OCPM, à Onex, d’abord chez un dénommé C______, puis chez une parente (considérée comme une nièce), Mme B______. Il a en outre travaillé comme agent de sécurité auxiliaire d’octobre 2014 à novembre 2016 dans une agence de sécurité privée ayant son siège à Lancy (GE), en remplissant des missions essentiellement dans le canton de Genève. Tous les documents versés au dossier (contrat de travail bulletins de salaire, permis C, extrait de compte bancaire, factures de prime d’assurance-maladie, courriers, etc.) font mention de son adresse à Onex, chez Mme B______. c. La contestation de son domicile et de sa résidence effective en Suisse trouve son origine dans le fait qu’un employé de l’intimée affirme avoir vu le recourant venir déposer son formulaire IPA au volant d’un véhicule immatriculé en France, le 14 décembre 2016, ce que nie le recourant, qui prétend y être venu ce jour-là en transports publics. Le recourant n’a pas de véhicule immatriculé à son nom, et il arrive que la mère de son jeune enfant, domiciliée à Annemasse (France), lui prête sa voiture, immatriculée en France. Il apparaît possible que, de crainte de se voir refuser les indemnités de chômage, le recourant n’a pas voulu admettre qu’il était venu le jour précité à la caisse au volant d’un véhicule immatriculé en France, mais il n’est pas complètement exclu qu’en ce jour de forte affluence d’assurés se pressant aux guichets de l’intimée en cette période précédant les fêtes de fin d’année il y ait eu confusion de personne. La question peut rester ouverte, car même si le fait précité devait être considéré comme</w:t>
      </w:r>
    </w:p>
    <w:p>
      <w:r>
        <w:t>A/3029/2017 - 10/12 - établi au degré de la vraisemblance prépondérante applicable en matière d’assurances sociales (ATF 130 III 321 consid. 3.2 et 3.3 ; 126 V 353 consid. 5b ; 125 V 193 consid. 2 et les références ; Ghislaine FRÉSARD- FELLAY / Bettina KAHIL-WOLFF / Stéphanie PERRENOUD, Droit suisse de la sécurité sociale, vol. II, 2015, p. 517 s.), il n’autoriserait pas à en tirer la conclusion que le recourant n’a pas son domicile et sa résidence effective à Onex (GE). d. Il doit être tenu pour établi que le recourant dispose d’une chambre dans l’appartement de celle qui, selon la culture africaine des intéressés, est pour lui une nièce (en tout état une parente). Non seulement ladite nièce l’avait déclaré à l’inspecteur le 24 janvier 2017 à 7h30 et l’a confirmé devant la chambre de céans, mais aussi la mère de la fille du recourant l’a déclaré lors de son audition par la chambre de céans. Il est regrettable mais non imputable au recourant que l’enquêteur de l’OCE n’ait pas pris la peine de vérifier ce fait de ses propres yeux. L’affirmation dudit inspecteur, atténuée lors de la confrontation avec Mme B______, que cette dernière aurait déclaré que le recourant n’avait pas d’affaires personnelles dans cet appartement est mise en doute de façon sérieuse et crédible par ladite nièce, et celle-ci a affirmé devant la chambre de céans que le recourant y a bien ses affaires personnelles (à savoir des habits, affaires de toilette, chaussures, etc.) et que, comme elle l’avait indiqué dans sa déclaration sur l’honneur du 28 février 2017, il passe la majorité de ses nuits dans son appartement. Ladite nièce a aussi indiqué qu’il est arrivé que le recourant y dorme avec son jeune enfant, ce que la mère de cette dernière a également déclaré devant la chambre de céans. Ce n’est pas parce que le recourant passe occasionnellement – voire assez souvent depuis qu’il est sans emploi – des nuits chez des amis et/ou des amies à Lausanne, Lyon ou Annemasse (au demeurant pas seulement des amies, comme l’a retenu l’inspecteur de l’OCE dans la déclaration que le recourant a certes signée sans faire attention à l’utilisation de la seule forme féminine, déclaration que l’enquêteur a reprise dans son rapport en indiquant qu’elle émanait de « Madame A______ ») qu’il n’a pas son domicile et sa résidence effective chez sa nièce à Onex. e. Il appert que c’est sur la base d’une information obtenue confidentiellement de l’agence de chômage française que l’enquêteur est parvenu à la conclusion que le recourant habitait probablement à la rue J______ ______ à Annemasse, et que l’intimée a ensuite retenu ce fait comme étant établi. Or, cette information est erronée, contredite de façon catégorique et crédible par la mère de son jeune enfant, tant dans la déclaration sur l’honneur qu’elle a signée le 28 février 2017 que lors de son audition par la chambre de céans, et elle paraît au surplus reposer sur une erreur d’interprétation de ladite information. Cette dernière tient en tout et pour tout en une photographie des noms figurant sur la boîte aux lettres de cette dernière à Annemasse, à savoir « K______ ET M______ L______ A______ ». Ainsi que le recourant l’a immédiatement déclaré, « L______ A______ » désigne sa fille, qui se prénomme L______ et porte son patronyme (A______), ce qui est dûment prouvé par les déclarations des deux témoins précités et les pièces officielles (acte de</w:t>
      </w:r>
    </w:p>
    <w:p>
      <w:r>
        <w:t>A/3029/2017 - 11/12 - naissance et passeport) produites par le recourant. Cette mention « M A______ » (de surcroît reliée par un trait d’union au premier prénom L______ dudit enfant) ne signifie pas « Monsieur A______ » et ne désigne donc nullement le recourant. f. Au vu de ces différents éléments, force est de retenir non seulement que l’enquête menée l’a été de façon superficielle (ATAS/396/2017 du 23 mai 2017 consid. 5c), mais aussi que la décision rendue est mal fondée. 4. La décision attaquée doit être annulée. Il n’appartient pas pour autant à la chambre de céans de dire que le recourant a droit à l’indemnité de chômage dès le 1er décembre 2016, dès lors que le litige n’a pas porté sur toutes les conditions d’octroi de l’indemnité de chômage. La cause doit être renvoyée à l’intimée pour examen de ces autres conditions et décision sur la demande d’indemnité de chômage présentée par le recourant. Aussi le recours doit-il être admis partiellement, quoique substantiellement. 5. a. La procédure est gratuite (art. 61 let. a LPGA). b. Dès lors qu’il obtient substantiellement gain de cause et est représenté par un avocat, le recourant a droit à une indemnité de procédure (art. 61 let. g LPGA), qu’il y a lieu de fixer à CHF 1’000.- (art. 6 du règlement sur les frais, émoluments et indemnités en procédure administrative du 30 juillet 1986 - RFPA - E 5 10.03) et de la mettre à la charge de l’intimée. * * * * * *</w:t>
      </w:r>
    </w:p>
    <w:p>
      <w:r>
        <w:t>A/3029/2017 - 12/12 -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