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ATAS/1130/2012 vom 18. September 2012</w:t>
      </w:r>
    </w:p>
    <w:p>
      <w:r>
        <w:t>GE Cour de justice, 2012-09-18, FR</w:t>
      </w:r>
    </w:p>
    <w:p>
      <w:r>
        <w:rPr>
          <w:b/>
        </w:rPr>
        <w:t xml:space="preserve">Quelle: </w:t>
      </w:r>
      <w:r>
        <w:t>https://mcp.opencaselaw.ch/entscheid/ge_gerichte_ATAS_1130_2012</w:t>
      </w:r>
    </w:p>
    <w:p>
      <w:r>
        <w:t>FR: GE_GERICHTE ATAS/1130/2012 du 18 septembre 2012</w:t>
      </w:r>
    </w:p>
    <w:p>
      <w:r>
        <w:t>IT: GE_GERICHTE ATAS/1130/2012 del 18 settembre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w:t>
      </w:r>
    </w:p>
    <w:p>
      <w:r>
        <w:t>A/588/2012 - 4/11 - Sa compétence pour juger du cas d’espèce est ainsi établie.</w:t>
      </w:r>
    </w:p>
    <w:p>
      <w:r>
        <w:rPr>
          <w:b/>
        </w:rPr>
        <w:t>E. 2</w:t>
      </w:r>
    </w:p>
    <w:p>
      <w:r>
        <w:t>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S’agissant des prestations complémentaires cantonales, l’art. 43 LPCC ouvre la même voie de droit. En l’espèce, le recours a été interjeté dans les forme et délai prévus par la loi, de sorte qu’il est recevable.</w:t>
      </w:r>
    </w:p>
    <w:p>
      <w:r>
        <w:rPr>
          <w:b/>
        </w:rPr>
        <w:t>E. 3</w:t>
      </w:r>
    </w:p>
    <w:p>
      <w:r>
        <w:t>Le litige porte sur la restitution de prestations versées à feu Madame R__________ à hauteur de 35'082 fr. Le recourant conteste le calcul du droit aux prestations complémentaires pour la période du 1er juillet 2009 au 17 décembre 2010 auquel a procédé le SPC, s'agissant de la prise en compte de la valeur vénale d'immeubles à Dardagny, soit d'un montant de 187'500 fr., et d'une fortune mobilière composée d'œuvres d'art et de peintures, représentant la somme de 38'400 fr.</w:t>
      </w:r>
    </w:p>
    <w:p>
      <w:r>
        <w:rPr>
          <w:b/>
        </w:rPr>
        <w:t>E. 4</w:t>
      </w:r>
    </w:p>
    <w:p>
      <w:r>
        <w:t>La décision de restitution du 24 mai 2011 a été notifiée à l'hoirie, à l'adresse de Monsieur R__________. La décision sur opposition l'a été à Monsieur R__________ directement. Il suffit en effet que la décision de restitution soit adressée à un seul héritier (Directives sur les prestations complémentaires, n° 4660.04 ; ATF P 41/00 du 8 octobre 2002).</w:t>
      </w:r>
    </w:p>
    <w:p>
      <w:r>
        <w:rPr>
          <w:b/>
        </w:rPr>
        <w:t>E. 5</w:t>
      </w:r>
    </w:p>
    <w:p>
      <w:r>
        <w:t>Monsieur R__________, seul, a formé opposition puis interjeté recours. Il avait été désigné le 2 novembre 2009 par le Tribunal tutélaire aux fonctions de curateur aux fins de gérer et d'administrer ses biens, d'encaisser ses revenus et ses rentes et de pourvoi à leur gestion et de la représenter à l'égard des ses créanciers. Cette curatelle a pris fin au décès de la pupille. Se pose dès lors la question de sa qualité pour recourir, étant précisé que l'hoirie de feu l'assurée se compose de Monsieur R__________ lui-même, de son frère, Monsieur R__________, et de sa sœur, Madame S__________. A qualité pour former une opposition ou un recours, outre l’assuré, toute personne touchée par la décision ou la décision sur opposition et qui a un intérêt digne d’être protégé à ce que la décision soit annulée ou modifiée (art. 59 LPGA) (Circulaire sur le contentieux dans l'AVS, l'AI, les APG et les PC, n° 2001, valable à partir du 1er janvier 2005, état au 1er janvier 2008).</w:t>
      </w:r>
    </w:p>
    <w:p>
      <w:r>
        <w:t>A/588/2012 - 5/11 - L’obligation de restituer les prestations indûment versées à un assuré défunt constitue une dette de la succession et passe, sauf répudiation de la succession, aux héritiers de ce dernier (ATF 96 V 72). Selon l'art. 560 al. 2 du Code civil suisse, le droit aux prestations d'assurance tombe dans la masse successorale, de sorte que les héritiers sont en droit de poursuivre une procédure y afférente entamée par le de cujus (arrêts du Tribunal fédéral 9C_194/2009 du 15 décembre 2009 consid.2.1.2 ; 1C_73/2008 du 1er octobre 2008 consid. 1.4 ; 8C_146/2008 du 22 avril 2008 consid. 1; ATAS 1269/2011).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 Il y a dès lors lieu d'admettre dans le cas d'espèce la qualité de Monsieur R__________ pour recourir, ce quand bien même la procédure n'avait pas été entamée par la défunte, puisque les décisions du SPC n'ont été rendues qu'après le décès.</w:t>
      </w:r>
    </w:p>
    <w:p>
      <w:r>
        <w:rPr>
          <w:b/>
        </w:rPr>
        <w:t>E. 6</w:t>
      </w:r>
    </w:p>
    <w:p>
      <w:r>
        <w:t>Au niveau fédéral, la LPC, entrée en vigueur le 1er janvier 2008 abroge et remplace la LPC du 19 mars 1965 (aLPC). Ont droit aux prestations les personnes âgées qui perçoivent une rente de l'AVS. Le montant de la prestation complémentaire annuelle correspond alors à la part des dépenses reconnues qui excède les revenus déterminants. Aux termes de l'art. 11 al. 1 let. b LPC, les revenus déterminants comprennent, entre autres éléments, le produit de la fortune immobilière. L'article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w:t>
      </w:r>
    </w:p>
    <w:p>
      <w:r>
        <w:t>A/588/2012 - 6/11 -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L’art. 17 OPC-AVS/AI pose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w:t>
      </w:r>
    </w:p>
    <w:p>
      <w:r>
        <w:rPr>
          <w:b/>
        </w:rPr>
        <w:t>E. 7</w:t>
      </w:r>
    </w:p>
    <w:p>
      <w:r>
        <w:t>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w:t>
      </w:r>
    </w:p>
    <w:p>
      <w:r>
        <w:rPr>
          <w:b/>
        </w:rPr>
        <w:t>E. 8</w:t>
      </w:r>
    </w:p>
    <w:p>
      <w:r>
        <w:t>Depuis le 1er janvier 2003, l’art. 25 al. 1 LPGA indique que les prestations indûment touchées doivent être restituées. De même, d'après l'art. 33 al. 1 de la loi d'application de la loi fédérale sur l'assurance-maladie du 29 mai 1997 (LaLAMal),</w:t>
      </w:r>
    </w:p>
    <w:p>
      <w:r>
        <w:t>A/588/2012 - 7/11 -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w:t>
      </w:r>
    </w:p>
    <w:p>
      <w:r>
        <w:rPr>
          <w:b/>
        </w:rPr>
        <w:t>E. 9</w:t>
      </w:r>
    </w:p>
    <w:p>
      <w:r>
        <w:t>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w:t>
      </w:r>
    </w:p>
    <w:p>
      <w:r>
        <w:rPr>
          <w:b/>
        </w:rPr>
        <w:t>E. 14</w:t>
      </w:r>
    </w:p>
    <w:p>
      <w:r>
        <w:t>De la valeur vénale du bien immobilier Il y a lieu d'observer qu'en l'espèce, le SPC a, à réception de la déclaration de succession du 1er février 2011, compris que le montant qu'il avait retenu jusqu'alors pour le bien immobilier ne correspondait pas à la réalité. Il s'était en effet fondé sur le montant de 125'000 fr. (soit 250'000 fr. : 2 vu la copropriété) résultant de l'expertise établie par Monsieur T_________, architecte, le 3 août 2009 et reçue le 20 août 2009. Il a, sur la base du chiffre figurant sur la déclaration de succession, soit 187'500 fr., repris le calcul des prestations complémentaires et réclamé par décision du 24 mai 2011 la restitution des prestations indûment versées. Force est toutefois de relever que dans son expertise du 3 août 2009, l'architecte avait clairement mentionné que le montant de 250'000 fr., auquel s'était initialement référé le SPC, correspondait à l'estimation de la valeur moyenne de gage. Le SPC ne pouvait manquer de le constater à la seule lecture du document, ce qui devait le conduire, s'il avait fait preuve d'un minimum de diligence, à interroger la défunte sur la valeur vénale. Si l'administration ne fournit pas les efforts nécessaires pour se faire une idée exacte de sa créance encore insuffisamment déterminée dans un délai raisonnable, cette omission ne peut pas se répercuter sur l'assuré et être retenue en faveur de l'administration. Dans un tel cas, le début du délai de péremption d'une année doit être fixé au moment où l'administration aurait dû compléter ses connaissances lacunaires avec les efforts pouvant être raisonnablement attendus d'elle, de sorte</w:t>
      </w:r>
    </w:p>
    <w:p>
      <w:r>
        <w:t>A/588/2012 - 10/11 - que la créance en restitution soit suffisamment déterminée et autorise la prise d'une décision (ATF 112 V 180). Aussi, lorsque le SPC a notifié à la défunte les décisions des 27 août et 12 décembre 2009, il lui incombait de contrôler la valeur du bien immobilier pris en considération. En adressant au recourant une demande de restitution le 24 mai 2011, il n'a ainsi pas respecté le délai de péremption d’un an de l’art. 25 al. 2 LPGA pour ce qui concerne la différence entre la valeur vénale et la valeur de gage. Son droit de réclamer la restitution des prestations y relatives est prescrit.</w:t>
      </w:r>
    </w:p>
    <w:p>
      <w:r>
        <w:rPr>
          <w:b/>
        </w:rPr>
        <w:t>E. 15</w:t>
      </w:r>
    </w:p>
    <w:p>
      <w:r>
        <w:t>De la fortune mobilière Des tableaux et œuvres d'art pour une valeur de 38'500 fr. n'ont pas été déclarés dans la demande de prestations. Ce n'est que lorsque le SPC a reçu la déclaration de succession le 1er février 2011 qu'il a appris l'existence de cette fortune mobilière, ainsi que sa valeur. Le recourant allègue toutefois lui avoir écrit le 24 décembre 2009, pour l'informer de ce que "les chiffres ne sont pas justes". Il incombait alors au SPC de s'enquérir auprès du recourant. Elle ne saurait à cet égard reprocher à ce dernier de ne pas lui avoir adressé de rappel. Il y a du reste lieu d'observer que le recourant a dûment déclaré au fisc la valeur de ces biens. Il apparaît ainsi, au vu de ce qui précède, que la demande en restitution s'agissant du montant de 38'500 fr. est également prescrite.</w:t>
      </w:r>
    </w:p>
    <w:p>
      <w:r>
        <w:rPr>
          <w:b/>
        </w:rPr>
        <w:t>E. 16</w:t>
      </w:r>
    </w:p>
    <w:p>
      <w:r>
        <w:t>Aussi le recours doit-il être admis.</w:t>
      </w:r>
    </w:p>
    <w:p>
      <w:r>
        <w:t>A/588/2012 - 11/11 - PAR CES MOTIFS, LA CHAMBRE DES ASSURANCES SOCIALES : Statuant A la forme : 1. Déclare le recours recevable. Au fond : 2. L'admet et annule la décision du 16 février 2012.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