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ATAS/112/2021 vom 11. Februar 2021</w:t>
      </w:r>
    </w:p>
    <w:p>
      <w:r>
        <w:t>GE Cour de justice, 2021-02-11, FR</w:t>
      </w:r>
    </w:p>
    <w:p>
      <w:r>
        <w:rPr>
          <w:b/>
        </w:rPr>
        <w:t xml:space="preserve">Quelle: </w:t>
      </w:r>
      <w:r>
        <w:t>https://mcp.opencaselaw.ch/entscheid/ge_gerichte_ATAS_112_2021</w:t>
      </w:r>
    </w:p>
    <w:p>
      <w:r>
        <w:t>FR: GE_GERICHTE ATAS/112/2021 du 11 février 2021</w:t>
      </w:r>
    </w:p>
    <w:p>
      <w:r>
        <w:t>IT: GE_GERICHTE ATAS/112/2021 del 11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pendant devant la Cour de céans le 1er janvier 2021, il reste soumis à l'ancien droit (cf. art. 83 LPGA).</w:t>
      </w:r>
    </w:p>
    <w:p>
      <w:r>
        <w:rPr>
          <w:b/>
        </w:rPr>
        <w:t>E. 4</w:t>
      </w:r>
    </w:p>
    <w:p>
      <w:r>
        <w:t>Interjeté dans les forme et délai prévus par la loi, le recours est recevable (art. 56 LPGA ; art. 62 al. 1 de la de loi sur la procédure administrative du 12 septembre 1985 [LPA - E 5 10]).</w:t>
      </w:r>
    </w:p>
    <w:p>
      <w:r>
        <w:rPr>
          <w:b/>
        </w:rPr>
        <w:t>E. 5</w:t>
      </w:r>
    </w:p>
    <w:p>
      <w:r>
        <w:t>Le litige porte sur le bien-fondé de la décision de l’intimé de limiter l’octroi à la recourante d’une demi-rente d’invalidité au 31 mars 2019.</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w:t>
      </w:r>
    </w:p>
    <w:p>
      <w:r>
        <w:rPr>
          <w:b/>
        </w:rPr>
        <w:t>E. 7</w:t>
      </w:r>
    </w:p>
    <w:p>
      <w:r>
        <w:t>L’art. 17 al. 1er LPGA dispose que si le taux d’invalidité du bénéficiaire de la rente subit une modification notable, la rente est, d’office ou sur demande, révisée pour</w:t>
      </w:r>
    </w:p>
    <w:p>
      <w:r>
        <w:t>A/2810/2019 - 6/10 -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A/2810/2019 - 7/10 -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11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A/2810/2019 - 8/10 - consid. 5 ; ATF 135 V 465 consid. 4.4 et 4.6 ; arrêt du Tribunal fédéral 9C_371/2018 du 16 août 2018 consid. 4.3.1).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131 V 51 consid. 5.1.2 et 5.2, précisé par l’ATF 142 V 290 consid. 7 ; arrêt du Tribunal fédéral 9C_432/2016 du 10 février 2017 consid. 5.1). La limitation dans le domaine lucratif doit être prise en considération de façon proportionnelle – en fonction de l'étendue de l’hypothétique taux d’activité lucrative à temps partiel (ATF 142 V 290 consid. 7).</w:t>
      </w:r>
    </w:p>
    <w:p>
      <w:r>
        <w:rPr>
          <w:b/>
        </w:rPr>
        <w:t>E. 14</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15</w:t>
      </w:r>
    </w:p>
    <w:p>
      <w:r>
        <w:t>En l’espèce, la Cour de céans note que, dans ses conclusions, la recourante demande que le versement de la rente débute le 1er mai 2018 (en lieu et place du 1er septembre 2018), sans toutefois motiver cette demande. Or, la demande de prestations ayant été déposée le 26 février 2018, c’est à juste titre que l’intimé n’a ouvert le droit aux prestations que six mois plus tard, conformément à l’art. 29 al. 1 LAI. A titre principal, la recourante conteste la limitation dans le temps de la rente octroyée jusqu’au 31 mars 2019. En d’autres termes, elle nie que son état de santé</w:t>
      </w:r>
    </w:p>
    <w:p>
      <w:r>
        <w:t>A/2810/2019 - 9/10 - se soit amélioré, en janvier 2019, au point de lui permettre d’exercer à 50% son activité habituelle. C’est pourtant bel et bien ce à quoi a conclu son rhumatologue traitant, le Dr C______, le 15 février 2019. Il a certes indiqué que des douleurs au niveau des pieds et du genou gauche persistaient, mais aussi estimé que toute activité adaptée, y compris l’activité habituelle, pourrait être exercée à 50% par sa patiente, compte tenu de l’amélioration clinique survenue en janvier 2019. Dès lors, on ne saurait s’écarter de l’avis du SMR et de l’intimé selon lesquels, à compter de cette date, une capacité de 50% a été recouvrée. Aucun élément médical objectif au dossier ne vient contredire cette hypothèse et l’assurée ne produit d’ailleurs rien de tel à l’appui de son recours. C’est dès lors à juste titre également que l’intimé a mis un terme au versement de la demi-rente avec effet trois mois plus tard, soit fin mars 2019. Dans son recours, l’assurée ne conteste plus le statut mixte qui lui a été conféré. A juste titre, puisqu’il ressort du dossier que, contrairement à ses dires, elle n’a pas travaillé tout le temps à plein temps, mais jusqu’en 2008 seulement, date à laquelle elle attendait son second enfant. Ce n’est donc pas la survenance de l’atteinte à la santé qui a justifié cette diminution de taux d’activité. Qui plus est, expressément interrogée lors de l’instruction de son dossier, l’intéressée a affirmé qu’en bonne santé, elle aurait continué à travailler à 50%. Ce sont à ces premières déclarations, faites alors qu’elle en ignorait encore les conséquences juridiques, qu’il convient de prêter foi (ATF 121 V 47 consid. 2a et les références, VSI 2000 p. 201 consid. 2b). Quant au taux d’empêchement dans la sphère ménagère, établi à l’issue d’une enquête à domicile, il n’est pas contesté. Au vu des considérations qui précèdent, le recours, manifestement infondé, est rejeté.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A/2810/2019 - 10/10 -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