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ATAS/112/2011 vom 1. Februar 2011</w:t>
      </w:r>
    </w:p>
    <w:p>
      <w:r>
        <w:t>GE Cour de justice, 2011-02-01, FR</w:t>
      </w:r>
    </w:p>
    <w:p>
      <w:r>
        <w:rPr>
          <w:b/>
        </w:rPr>
        <w:t xml:space="preserve">Quelle: </w:t>
      </w:r>
      <w:r>
        <w:t>https://mcp.opencaselaw.ch/entscheid/ge_gerichte_ATAS_112_2011</w:t>
      </w:r>
    </w:p>
    <w:p>
      <w:r>
        <w:t>FR: GE_GERICHTE ATAS/112/2011 du 1 février 2011</w:t>
      </w:r>
    </w:p>
    <w:p>
      <w:r>
        <w:t>IT: GE_GERICHTE ATAS/112/2011 del 1 febbraio 2011</w:t>
      </w:r>
    </w:p>
    <w:p>
      <w:pPr>
        <w:pStyle w:val="Heading2"/>
      </w:pPr>
      <w:r>
        <w:t>Regeste</w:t>
      </w:r>
    </w:p>
    <w:p>
      <w:r>
        <w:t>Résumé: En matière de prestations complémentaires, le produit hypothétique de l'usufruit dont l'ayant droit s'est dessaisi sans obtenir de contre-prestation doit être pris en considération au titre de revenu pour le calcul des prestations complémentaires. Dans ce cadre, le calcul du dessaisissement correspond aux intérêts de la valeur vénale et non pas à la valeur locative du logement grévé d'un usufruit.</w:t>
      </w:r>
    </w:p>
    <w:p>
      <w:pPr>
        <w:pStyle w:val="Heading2"/>
      </w:pPr>
      <w:r>
        <w:t>Erwägungen</w:t>
      </w:r>
    </w:p>
    <w:p>
      <w:r>
        <w:rPr>
          <w:b/>
        </w:rPr>
        <w:t>E. 1</w:t>
      </w:r>
    </w:p>
    <w:p>
      <w:r>
        <w:t>Conformément à l'art. 56 V al. 1 let. a ch. 3 de la loi sur l'organisation judiciaire, du 22 novembre 1941 en vigueur jusqu’au 31 décembre 2010 (aLOJ; RSG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t>A/3947/2010 - 4/7 -</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à l'intimé (art. 56ss LPGA), qui l'a transmis au Tribunal cantonal des assurances sociales comme objet de sa compétence, de sorte qu'il est recevable.</w:t>
      </w:r>
    </w:p>
    <w:p>
      <w:r>
        <w:rPr>
          <w:b/>
        </w:rPr>
        <w:t>E. 3</w:t>
      </w:r>
    </w:p>
    <w:p>
      <w:r>
        <w:t>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w:t>
      </w:r>
    </w:p>
    <w:p>
      <w:r>
        <w:rPr>
          <w:b/>
        </w:rPr>
        <w:t>E. 4</w:t>
      </w:r>
    </w:p>
    <w:p>
      <w:r>
        <w:t>Le litige porte sur la prise en compte dans le calcul des prestations complémentaires du produit hypothétique de l'usufruit sur le bien immobilier sis en Valais dont s'est dessaisie la recourante.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Ont droit aux prestations complémentaires cantonales les personnes dont le revenu annuel déterminant n’atteint pas le revenu minimum cantonal d’aide sociale applicable (art. 4 LPCC).</w:t>
      </w:r>
    </w:p>
    <w:p>
      <w:r>
        <w:t>A/3947/2010 - 5/7 -</w:t>
      </w:r>
    </w:p>
    <w:p>
      <w:r>
        <w:rPr>
          <w:b/>
        </w:rPr>
        <w:t>E. 6</w:t>
      </w:r>
    </w:p>
    <w:p>
      <w:r>
        <w:t>Au niveau fédéral, les revenus déterminants comprennent, notamment, le produit de la fortune mobilière et immobilière (art. 3c al. 1 let. b LPC), un dixième de la fortune nette dans la mesure où elle dépasse 25’000 fr. pour un célibataire (art. 3c al. 1 let. c LPC), les rentes, pensions et autres prestations périodiques, y compris les rentes de l’AVS et de l’AI (art. 3c al. 1 let. d LPC), et les ressources et parts de fortune dont un ayant droit s’est dessaisi (art. 3c al. 1 let. g LPC). Sur le plan cantonal, la LPCC renvoie à la réglementation fédérale pour le calcul du revenu déterminant et des dépenses, sous réserve de certaines adaptations, sans incidence en l'espèce.</w:t>
      </w:r>
    </w:p>
    <w:p>
      <w:r>
        <w:rPr>
          <w:b/>
        </w:rPr>
        <w:t>E. 7</w:t>
      </w:r>
    </w:p>
    <w:p>
      <w:r>
        <w:t>a) Par dessaisissement, il faut entendre la renonciation par le bénéficiaire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123 V 35, consid. 1). En cas de renonciation à un usufruit, le revenu hypothétique de ce droit doit être considéré comme un dessaisissement de revenu et non comme un dessaisissement de fortune, ce qui exclut la possibilité d'amortissement au sens de l'art. 17a OPC- AVS/AI. D'autre part, le calcul du dessaisissement ne se fonde pas sur la valeur locative mais correspond aux intérêts de la valeur vénale (Pierre FERRARI, Dessaisissement volontaire et prestations complémentaires à l'AVS/AI, RSAS 2002, p. 427, Ralph JÖHL, Die Ergänzungsleistung und ihre Berechnung, in Soziale Sicherheit, SBVR vol XIV, n. 741 p. 1786). Dans un arrêt récent, le Tribunal fédéral a confirmé cette méthode de calcul, en retenant qu'il y avait lieu de renoncer à calculer le revenu dont le bénéficiaire s'est dessaisi en se référant à la valeur locative du logement grevé d'usufruit, car un tel procédé conduirait à une inégalité de traitement entre celui qui cède gratuitement le logement dont il est propriétaire et qui se voit imputer un revenu fictif correspondant à l'intérêt sur la valeur vénale et l'usufruitier qui renonce à son droit (ATF 8C_68/2008 du 27 janvier 2009, consid. 4.2.3 et les références citées). Dans le même arrêt, notre Haute Cour a ajouté que le montant de la valeur vénale sur lequel portait l'usufruit est réputé pouvoir être immobilisé pour une certaine durée, l'ayant droit n'étant pas censé l'entamer régulièrement pour subvenir à ses besoins courants. Déterminer l'intérêt sur la valeur vénale de l'immeuble en se référant aux taux d'intérêt moyens sur l'épargne ne prendrait pas suffisamment en compte cet élément, et il convient dès lors de calculer le revenu fictif imputé au bénéficiaire en s'appuyant sur le taux d'intérêt moyen pour les obligations et bons de caisse en Suisse au cours de l'année précédant celle de l'octroi de la prestation complémentaire (consid. 4.2.3). b) En l'espèce, la bénéficiaire s'est dessaisie d'un usufruit sans obtenir de contre- prestation. La prise en considération dans le calcul des prestations complémentaires</w:t>
      </w:r>
    </w:p>
    <w:p>
      <w:r>
        <w:t>A/3947/2010 - 6/7 - d'un revenu de l'usufruit auquel la bénéficiaire a renoncé n'est pas critiquable dans son principe. En revanche, le calcul auquel l'intimé a procédé n'est pas conforme à la jurisprudence et à la doctrine précitées, puisqu'il retient à titre de revenu hypothétique la valeur locative du bien immobilier, et non pas les intérêts de sa valeur vénale en appliquant le taux d'intérêt moyen pour les obligations et bons de caisse. Ce taux était de 2.49 % en 2009 (Banque nationale suisse, Bulletin mensuel de statistiques économiques, septembre 2010, tableau E4). Le montant à retenir à titre de produit du bien immobilier n'est donc pas de 2'501 fr. 10 (soit 4.5 % de 55'580 fr.), mais de 1'383 fr. 95. Le dossier doit donc être renvoyé à l'intimé pour qu'il reprenne le calcul des prestations complémentaires dès le 1er septembre 2010 selon les modalités exposées ci-dessus.</w:t>
      </w:r>
    </w:p>
    <w:p>
      <w:r>
        <w:rPr>
          <w:b/>
        </w:rPr>
        <w:t>E. 12</w:t>
      </w:r>
    </w:p>
    <w:p>
      <w:r>
        <w:t>Eu égard à ce qui précède, le recours est partiellement admis au sens des considérants et les décisions du 10 août 2010 et du 30 septembre 2010 annulées. Pour le surplus, la procédure est gratuite (art. 61 let. a LPGA).</w:t>
      </w:r>
    </w:p>
    <w:p>
      <w:r>
        <w:t>A/3947/2010 - 7/7 -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