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ATAS/112/2009 vom 3. Februar 2009</w:t>
      </w:r>
    </w:p>
    <w:p>
      <w:r>
        <w:t>GE Cour de justice, 2009-02-03, FR</w:t>
      </w:r>
    </w:p>
    <w:p>
      <w:r>
        <w:rPr>
          <w:b/>
        </w:rPr>
        <w:t xml:space="preserve">Quelle: </w:t>
      </w:r>
      <w:r>
        <w:t>https://mcp.opencaselaw.ch/entscheid/ge_gerichte_ATAS_112_2009</w:t>
      </w:r>
    </w:p>
    <w:p>
      <w:r>
        <w:t>FR: GE_GERICHTE ATAS/112/2009 du 3 février 2009</w:t>
      </w:r>
    </w:p>
    <w:p>
      <w:r>
        <w:t>IT: GE_GERICHTE ATAS/112/2009 del 3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Interjeté dans les forme et délai prévus par la loi, le présent recours est recevable (art. 56 à 60 LPGA).</w:t>
      </w:r>
    </w:p>
    <w:p>
      <w:r>
        <w:rPr>
          <w:b/>
        </w:rPr>
        <w:t>E. 4</w:t>
      </w:r>
    </w:p>
    <w:p>
      <w:r>
        <w:t>La question litigieuse est de déterminer le taux d'invalidité du recourant, et par conséquent, son droit à la rente.</w:t>
      </w:r>
    </w:p>
    <w:p>
      <w:r>
        <w:t>A/2545/2008 - 9/14 -</w:t>
      </w:r>
    </w:p>
    <w:p>
      <w:r>
        <w:rPr>
          <w:b/>
        </w:rPr>
        <w:t>E. 5</w:t>
      </w:r>
    </w:p>
    <w:p>
      <w:r>
        <w:t>Selon l’art. 7 LPGA,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Selon l’art. 28 al. 1 LAI dans sa teneur dès le 1er janvier 2004, l’assuré a droit à une rente entière s’il est invalide à 70 % au moins, un trois-quarts de rente s'il est invalide à 60 % au moins, une demi-rente s’il est invalide à 50 % au moins, ou à un quart de rente s’il est invalide à 40 % au moins. Le droit à la rente s'ouvre au plus tôt à la date dès laquelle l'assuré a présenté, en moyenne, une incapacité de travail de 40 % au moins pendant une année sans interruption notable (art. 29 LAI).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C'est le lieu de rappeler que, s'agissant de l'appréciation des preuves,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w:t>
      </w:r>
    </w:p>
    <w:p>
      <w:r>
        <w:t>A/2545/2008 - 10/14 -</w:t>
      </w:r>
    </w:p>
    <w:p>
      <w:r>
        <w:rPr>
          <w:b/>
        </w:rPr>
        <w:t>E. 6</w:t>
      </w:r>
    </w:p>
    <w:p>
      <w:r>
        <w:t>En l'espèce, l'évaluation de l'état de santé du recourant et de sa capacité de travail a fait l'objet d'une expertise diligentée pour l'assureur perte de gain, puis d'un examen rhumatologique par le SMR. Leurs conclusions, convergentes, sont claires, et par ailleurs non contestées. C'est ainsi que le SMR, notamment, a retenu des lombosciatalgies bilatérales et cervico-brachialgies droites dans le cadre de troubles statiques et dégénératifs du rachis avec canal lombaire étroit persistant avec importantes limitations fonctionnelles pour le rachis, à savoir la nécessité de pouvoir alterner deux à trois fois par heure la position assise et la position debout, pas de soulèvement régulier de charges d'un poids excédant 5 kilos, pas de port régulier de charges d'un poids excédant 10 kilos, et pas de travail en porte-à-faux statique prolongé du tronc. Pour ces motifs, le SMR a retenu une totale incapacité de travail dans l'activité de garagiste indépendant en ce qui concerne la partie s'occupant de la mécanique automobile, et pour la partie administrative, une capacité de travail de 50 %, cette partie de l'activité tenant compte des limitations fonctionnelles susmentionnées. Dans tout autre activité adaptée tenant compte également de ces limitations fonctionnelles, la capacité de travail est également de « 50 % d'un 100 % ». Il en découle que le recourant peut uniquement effectuer une partie des tâches administratives qui ne sont pas dévolues à son épouse, en raison du fait qu'il ne possède pas lui-même les compétences pour les effectuer, et qu'il ne peut plus effectuer aucun travail de mécanique, ceux-ci étant effectués par les apprentis, sur la base de ses instructions et avec sa surveillance. À propos des tâches administratives, il n'est pas exigible du recourant qu'il augmente la part de travaux administratifs au simple motif qu'il pourrait, du point de vue médical, en effectuer davantage. L'instruction par le Tribunal de même que les pièces au dossier et les constatations de l'enquêtrice permettent de retenir, en effet, que le recourant n'a aucune compétence informatique. Il est vain d'exiger de lui qu'il passe davantage de temps aux tâches administratives s'il n'en a pas les moyens, sans compter que les tâches administratives ne sont pas extensibles à souhait. Aujourd'hui comme hier le recourant peut consacrer environ 10 heures par semaine aux tâches administratives. L'épouse du recourant, en revanche, a augmenté non seulement sa présence au garage, mais également son activité administrative pour celui-ci. Elle a expliqué qu'elle avait dû suppléer son mari durant l'hospitalisation et la convalescence. De même, conformément à l'obligation de diminuer le dommage du recourant, les époux ont renoncé au travail d'une fiduciaire, cette tâche ayant été reprise par l'épouse. Compte tenu de la présence permanente de l'époux au garage il est difficile d'évaluer comment a pu évoluer son activité concrète. Le Tribunal retiendra, en appréciant les faits collectés lors de l'instruction, que son activité a augmenté au moins d'un tiers. Par conséquent, le montant qu'il conviendra de déduire du salaire de recourant sera augmenté d'autant pour les années postérieures à la survenance de l'atteinte à la santé.</w:t>
      </w:r>
    </w:p>
    <w:p>
      <w:r>
        <w:t>A/2545/2008 - 11/14 - S'agissant de la diminution du dommage, l'OCAI persiste à dire que le recourant n'a pas fait tous les efforts exigibles pour l'année 2006. Cette vision des choses est erronée, en tant qu'elle ignore la réalité concrète d'un garagiste indépendant. Il est en effet hautement vraisemblable, au degré requis en assurances sociales, que l'atteinte à la santé du recourant a conduit, petit à petit, sa clientèle à changer de garagiste. Cet effet a été amplifié par l'incompétence des deux employés spécialistes que le recourant avait pourtant engagés pour pallier son propre handicap. Comme le démontrent les chiffres, la situation au début 2006 ne permettait plus au recourant d'assumer les charges importantes relatives à un salaire d'ouvrier spécialisé, ce d'autant plus que cet effort financier n'était plus en mesure de garantir un bon chiffre d'affaires au garage. L'engagement d'un ouvrier spécialisé en 2006 eût été, contrairement à ce qu'allègue l'OCAI, une erreur qui eût précipité l'entreprise dans les chiffres rouges. On rappellera par ailleurs que le recourant avait pris d'autres mesures pour diminuer son dommage en réduisant la surface de son commerce. Le reproche de l'OCAI relatif à l'obligation de diminuer son dommage est dès lors sans fondement. L'année 2006 devra être prise en considération dans le calcul de l'invalidité.</w:t>
      </w:r>
    </w:p>
    <w:p>
      <w:r>
        <w:rPr>
          <w:b/>
        </w:rPr>
        <w:t>E. 7</w:t>
      </w:r>
    </w:p>
    <w:p>
      <w:r>
        <w:t>Ceci étant dit, il convient maintenant de procéder au calcul proprement dit du taux d'invalidité.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Selon la jurisprudence, par revenu que l'assuré aurait pu obtenir s'il n'était pas invalide au sens de l'art. 28 al. 2 LAI, soit le revenu sans invalidité, il faut entendre le gain qu'il réaliserait effectivement s'il était en bonne santé (cf. ATFA du 14 octobre 2002, cause I 777/01). Hypothétique, le revenu sans invalidité n'en doit pas moins être évalué de manière aussi concrète que possible. C'est pourquoi il convient, en règle générale, de se référer au dernier salaire que l'assuré a obtenu avant l'atteinte à la santé, qui équivaut normalement à une prestation de travail correspondante. En effet, la preuve de l'existence de circonstances justifiant de s'écarter du revenu effectivement réalisé est soumise à des exigences sévères, qu'il</w:t>
      </w:r>
    </w:p>
    <w:p>
      <w:r>
        <w:t>A/2545/2008 - 12/14 - s'agisse de l'évaluation du revenu avec ou sans invalidité et de la preuve de circonstances justifiant de s'écarter du revenu effectif en faveur ou en défaveur de l'assuré (arrêt non publié W. du 23 juillet 1999 [I 200/98];). S'agissant des indépendants, la circulaire de l'OFFICE FÉDÉRAL DES ASSURANCES SOCIALES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w:t>
      </w:r>
    </w:p>
    <w:p>
      <w:r>
        <w:t>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w:t>
      </w:r>
    </w:p>
    <w:p>
      <w:r>
        <w:rPr>
          <w:b/>
        </w:rPr>
        <w:t>E. 8</w:t>
      </w:r>
    </w:p>
    <w:p>
      <w:r>
        <w:t>Dans le cas d'espèce, le Tribunal reconnaît que la méthode générale de comparaison des revenus peut s'appliquer, car il est exact que l'on dispose de tous les chiffres pertinents, qui ne sont pas fluctuants dans la mesure où ils sont relativement stables</w:t>
      </w:r>
    </w:p>
    <w:p>
      <w:r>
        <w:t>A/2545/2008 - 13/14 - avant l'atteinte à la santé puis diminuent progressivement après celle-ci. On retiendra avec l'OCAI qu'aucun élément extérieur n'a influencé les chiffres figurant au dossier. De même se justifie-t-il de prendre plusieurs années pour en tirer une moyenne, car cela permet de lisser les revenus de façon à ce que le résultat de la comparaison des gains ne soit pas trop différent en fonction de ce que l'atteinte à la santé survienne une année plutôt qu'une autre. Naturellement, dans la mesure du possible, il y a lieu de comparer un nombre d'années identiques avant l'atteinte à la santé puis après l'atteinte à la santé. Comme vu ci-dessus, l'année 2006 doit être prise en considération, de sorte que l'on pourra comparer les années 2000-2002 à 2004- 2006. Des bénéfices d'exploitation sera déduite la part relative à la collaboration du conjoint. Les chiffres de l'OCAI, par ailleurs non contestés et correspondant à une activité de 15 % seront retenus pour les années précédant l'atteinte à la santé, soit une somme de 12 957 F. Ce montant sera porté à 19 435 F pour les années postérieures (+ 1/3). Soit le calcul suivant: -moyenne 2000-2002: 86 381 soit (92 871 + 83 722 + 82 550) - 12 957 = 73 424</w:t>
      </w:r>
    </w:p>
    <w:p>
      <w:r>
        <w:t>3 -moyenne 2004-2006 : 35 430 soit (47 594 + 42 857 + 18 840) - 19 435 = 15 995 3 -taux d'invalidité : 73 424 - 15 995 : 73 424 = 78,2 %</w:t>
      </w:r>
    </w:p>
    <w:p>
      <w:r>
        <w:rPr>
          <w:b/>
        </w:rPr>
        <w:t>E. 9</w:t>
      </w:r>
    </w:p>
    <w:p>
      <w:r>
        <w:t>Ce taux ouvre le droit à une rente entière d'invalidité. Le recours sera admis, et les décisions litigieuses annulées. Le recourant, qui obtient gain de cause, a droit à des dépens fixés en l'espèce à 3000 F. L'OCAI sera condamné au versement de l'émolument.</w:t>
      </w:r>
    </w:p>
    <w:p>
      <w:r>
        <w:t>A/2545/2008 - 14/14 -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