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ATAS/1129/2020 vom 26. November 2020</w:t>
      </w:r>
    </w:p>
    <w:p>
      <w:r>
        <w:t>GE Cour de justice, 2020-11-26, FR</w:t>
      </w:r>
    </w:p>
    <w:p>
      <w:r>
        <w:rPr>
          <w:b/>
        </w:rPr>
        <w:t xml:space="preserve">Quelle: </w:t>
      </w:r>
      <w:r>
        <w:t>https://mcp.opencaselaw.ch/entscheid/ge_gerichte_ATAS_1129_2020</w:t>
      </w:r>
    </w:p>
    <w:p>
      <w:r>
        <w:t>FR: GE_GERICHTE ATAS/1129/2020 du 26 novembre 2020</w:t>
      </w:r>
    </w:p>
    <w:p>
      <w:r>
        <w:t>IT: GE_GERICHTE ATAS/1129/2020 del 26 novembre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Interjeté dans les forme et délai prévus par la loi, le recours est recevable (art. 56ssLPGA et 62ss de la loi sur la procédure administrative du 12 septembre 1985 [LPA-GE - E 5 10]).</w:t>
      </w:r>
    </w:p>
    <w:p>
      <w:r>
        <w:rPr>
          <w:b/>
        </w:rPr>
        <w:t>E. 4</w:t>
      </w:r>
    </w:p>
    <w:p>
      <w:r>
        <w:t>Le litige porte sur le degré d’invalidité à reconnaître à recourante, plus particulièrement sur la question de savoir si le droit à une demi-rente d’invalidité plutôt qu’à un quart de rente pourrait lui être reconnu, comme elle le demande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w:t>
      </w:r>
    </w:p>
    <w:p>
      <w:r>
        <w:t>A/1776/2019 - 6/12 -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A/1776/2019 - 7/12 - Sans remettre en cause le principe de la libre appréciation des preuves, le Tribunal fédéral des assurances a posé des lignes directrices en ce qui concerne la manière d'apprécier certains types d'expertises ou de rapports médicaux.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la recourante conteste pouvoir exercer son activité à 60% et argue ne pouvoir le faire qu’à 50%, taux qu’elle a d’ailleurs adopté depuis l’été 2017.</w:t>
      </w:r>
    </w:p>
    <w:p>
      <w:r>
        <w:t>A/1776/2019 - 8/12 - En premier lieu, la recourante allègue souffrir, en plus de ses atteintes physiques, d’un trouble dépressif récurrent. Elle rappelle avoir fait deux tentamen ayant conduit à des hospitalisations en 2010 et 2011. La Cour de céans constate que les faits évoqués remontent cependant à plusieurs années auparavant, la décision ayant été rendue en mars 2019. Certes, le médecin traitant a fait mention, dans son rapport du 21 juillet 2016 d’un état anxiodépressif dont il n’a cependant pas indiqué qu’il revêtirait un degré de gravité important, se limitant à suggérer d’éviter les activités occasionnant des « stress psychiques ». Qui plus est, la recourante ne produit aucun élément venant contredire les constatations du SMR selon lesquelles il n’y aurait plus ni suivi spécialisé, ni traitement en cours depuis 2014. Dans de telles circonstances, on ne saurait reprocher à l’intimé d’avoir conclu qu’il n’y avait aucun indice permettant de penser à la persistance d’une atteinte psychique invalidante. En second lieu, la recourante reproche à l’intimé son évaluation de sa capacité de travail. Elle rappelle les doutes émis par le SMR quant au fait que l’activité d’assistante médicale serait adaptée à ses limitations fonctionnelles. Certes, le SMR a émis des doutes dans un premier temps, en mai 2017, en précisant toutefois se référer à la situation « actuelle ». Contrairement à ce qu’allègue la recourante, l’intimé s’est bel et bien fondé sur une appréciation médicale objective puisque le Dr D______ a par la suite confirmé le caractère adapté et exigible des activités tant de secrétaire que d’assistante médicale au vu des limitations fonctionnelles retenues et que son appréciation a été confirmée par le Dr C______ qui, fin 2016, évoquait même une capacité de travail de 100% à condition d’éviter le port de charges et la station debout prolongée. Eu égard aux considérations qui précèdent c’est donc à juste titre que l’intimé a retenu une capacité de travail de 60% dans l’activité exercée, considérée comme adaptée.</w:t>
      </w:r>
    </w:p>
    <w:p>
      <w:r>
        <w:rPr>
          <w:b/>
        </w:rPr>
        <w:t>E. 9</w:t>
      </w:r>
    </w:p>
    <w:p>
      <w:r>
        <w:t>La recourante soutient enfin qu’une réduction devrait être appliquée au revenu d’invalide.</w:t>
      </w:r>
    </w:p>
    <w:p>
      <w:r>
        <w:rPr>
          <w:b/>
        </w:rPr>
        <w:t>E. 10</w:t>
      </w:r>
    </w:p>
    <w:p>
      <w:r>
        <w:t>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A/1776/2019 - 9/12 -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w:t>
      </w:r>
    </w:p>
    <w:p>
      <w:r>
        <w:t>A/1776/2019 - 10/12 -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w:t>
      </w:r>
    </w:p>
    <w:p>
      <w:r>
        <w:t>A/1776/2019 - 11/12 -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w:t>
      </w:r>
    </w:p>
    <w:p>
      <w:r>
        <w:rPr>
          <w:b/>
        </w:rPr>
        <w:t>E. 11</w:t>
      </w:r>
    </w:p>
    <w:p>
      <w:r>
        <w:t>En l’espèce, la recourante soutient qu’une réduction supplémentaire de 20, voire 25% aurait dû être appliquée au revenu d’invalide pour tenir compte, d’une part, de son manque total d’expérience professionnelle, d’autre part, des multiples atteintes à la santé dont elle souffre. L’intimé le conteste, arguant qu’aucune réduction n’est possible, le degré d’invalidité n’ayant pas été calculé sur la base des statistiques. C’est le lieu de rappeler qu’une déduction sur le montant du salaire d'invalide résultant des statistiques en raison d'empêchements propres à l'assuré ne doit être opérée que lorsqu'il existe des indices qu'en raison d'un ou de plusieurs facteurs, l'intéressé ne peut mettre en valeur sa capacité résiduelle de travail sur le marché du travail qu'avec un résultat économique inférieur à la moyenne. Tel n’est pas le cas en l’occurrence. Le manque d’expérience professionnelle n’est pas un facteur susceptible de jouer un rôle significatif sur les perspectives salariales. D'une part, l’activité envisagée est la même que celle à laquelle la recourante se destinait avant l’atteinte à sa santé. D’autre part, tout nouveau travail va de pair avec une période d'apprentissage, de sorte qu'il n'y a pas lieu d'effectuer un abattement à ce titre (voir par exemple l'arrêt 9C_200/2017 du 14 novembre 2017 consid. 4.5). Quant aux atteintes à la santé, elles ont été prises en compte dans l’évaluation de la capacité de travail et ne sauraient dès lors l’être une seconde fois au titre de facteur de réduction. Au vu de ce qui précède, le recours est rejeté. 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A/1776/2019 - 12/12 -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