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ATAS/1128/2019 vom 2. Dezember 2019</w:t>
      </w:r>
    </w:p>
    <w:p>
      <w:r>
        <w:t>GE Cour de justice, 2019-12-02, FR</w:t>
      </w:r>
    </w:p>
    <w:p>
      <w:r>
        <w:rPr>
          <w:b/>
        </w:rPr>
        <w:t xml:space="preserve">Quelle: </w:t>
      </w:r>
      <w:r>
        <w:t>https://mcp.opencaselaw.ch/entscheid/ge_gerichte_ATAS_1128_2019</w:t>
      </w:r>
    </w:p>
    <w:p>
      <w:r>
        <w:t>FR: GE_GERICHTE ATAS/1128/2019 du 2 décembre 2019</w:t>
      </w:r>
    </w:p>
    <w:p>
      <w:r>
        <w:t>IT: GE_GERICHTE ATAS/1128/2019 del 2 dicembre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A/3462/2018 - 6/18 -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sur les prestations fédérales complémentaires à l’assurance-vieillesse et survivants et à l’assurance-invalidité, du 14 octobre 1965 [LPFC; RS/GE J 4 20] ; art. 43 LPCC ; art. 61 let. b LPGA).</w:t>
      </w:r>
    </w:p>
    <w:p>
      <w:r>
        <w:rPr>
          <w:b/>
        </w:rPr>
        <w:t>E. 3</w:t>
      </w:r>
    </w:p>
    <w:p>
      <w:r>
        <w:t>Le litige concerne la restitution de CHF 13’707,60, représentant les subsides d’assurance-maladie que le recourant et son épouse auraient indûment perçus entre le 1er février 2010 et le 31 janvier 2017. Il porte plus particulièrement sur la détermination de la valeur de la villa cédée à leur fils en août 2010, moyennant octroi en leur faveur d’un usufruit (apparemment à vie), respectivement de la valeur dudit usufruit.</w:t>
      </w:r>
    </w:p>
    <w:p>
      <w:r>
        <w:rPr>
          <w:b/>
        </w:rPr>
        <w:t>E. 4</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Le droit aux prestations complémentaires du recourant se détermine, dès lors, selon les dispositions légales dans leur ancienne teneur pour la période jusqu'au 31 décembre 2010 et selon le nouveau droit pour les prestations dès cette date. On précisera que les règles applicables à la problématique qui nous occupe (évaluation du dessaisissement sous forme de donation avec réserve d’usufruit) n’ont pas connu de modifications significatives.</w:t>
      </w:r>
    </w:p>
    <w:p>
      <w:r>
        <w:rPr>
          <w:b/>
        </w:rPr>
        <w:t>E. 5</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personnes qui, en raison de revenus excédentaires, n'ont pas droit à une prestation complémentaire annuelle, ont droit au</w:t>
      </w:r>
    </w:p>
    <w:p>
      <w:r>
        <w:t>A/3462/2018 - 7/18 - remboursement des frais de maladie et d'invalidité qui dépassent la part des revenus excédentaires (art. 14 al. 6 LPC). Selon l’art. 11 al. 1 LPC, les revenus déterminants comprennent notamment le produit de la fortune mobilière et immobilière (let. b) ; un quinzième de la fortune nette, un dixième pour les bénéficiaires de rentes de vieillesse, dans la mesure où elle dépasse CHF 40'000.- pour les couples (CHF 60'000.- dès le 1er janvier 2011 ; let. c, 1ère phrase) ; et les ressources et parts de fortune dont un ayant droit s’est dessaisi (let. g). Quant aux dépenses, elles comprennent notamment, selon l’art. 10 al. 1 LPC, les montants destinés à la couverture des besoins vitaux (let. a) ; le loyer d'un appartement et les frais accessoires y relatifs (let. b) ; et les frais d'entretien des bâtiments et les intérêts hypothécaires, jusqu'à concurrence du rendement brut de l'immeuble (al. 3 let. b).</w:t>
      </w:r>
    </w:p>
    <w:p>
      <w:r>
        <w:rPr>
          <w:b/>
        </w:rPr>
        <w:t>E. 6</w:t>
      </w:r>
    </w:p>
    <w:p>
      <w:r>
        <w:t>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défini à l'art. 3 LPCC (art. 6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(art. 3 al. 4 LPCC).</w:t>
      </w:r>
    </w:p>
    <w:p>
      <w:r>
        <w:rPr>
          <w:b/>
        </w:rPr>
        <w:t>E. 7</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w:t>
      </w:r>
    </w:p>
    <w:p>
      <w:r>
        <w:t>A/3462/2018 - 8/18 - complémentaires à l'assurance-vieillesse, survivants et invalidité du 15 janvier 1971 [OPC-AVS/AI – RS 831.301]).</w:t>
      </w:r>
    </w:p>
    <w:p>
      <w:r>
        <w:rPr>
          <w:b/>
        </w:rPr>
        <w:t>E. 8</w:t>
      </w:r>
    </w:p>
    <w:p>
      <w:r>
        <w:t>Pour la fixation des prestations complémentaires cantonales, est déterminante, la fortune au 1er janvier de l'année pour laquelle la prestation est demandée (art. 9 al. 1 let. b LPCC).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w:t>
      </w:r>
    </w:p>
    <w:p>
      <w:r>
        <w:rPr>
          <w:b/>
        </w:rPr>
        <w:t>E. 9</w:t>
      </w:r>
    </w:p>
    <w:p>
      <w:r>
        <w:t>a. Les prestations complémentaires ont pour but de garantir la couverture des besoins vitaux des personnes qui, malgré les prestations de l’AVS ou de l’assurance-invalidité, ne disposent pas de ressources suffisantes pour subvenir à leurs besoins. Si elles disposent d’une fortune leur permettant de couvrir tout ou une partie de ces besoins, il n’appartient pas aux prestations complémentaires d’y pourvoir. Le législateur a en effet estimé qu’il était équitable que les bénéficiaires de prestations complémentaires emploient, sous réserve des franchises prévues par la loi, une partie de leur fortune pour la couverture de leur entretien courant. La part de la fortune qui dépasse le montant de la franchise est ainsi « transformée en revenu » (Michel VALTERIO, Commentaire de la loi fédérale sur les prestations complémentaires à l'AVS et à l'AI, 2015, p. 142, n. 42 ad art. 11).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JÖHL/Patricia USINGER-EGGER, Ergänzungsleistungen zur AHV/IV in Schweizerisches Bundesverwaltungsrecht [SBVR], Band XIV, Soziale Sicherheit, 3ème éd. 2016, p. 1842-1843 n. 161).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Ergänzungsleistungen zur Alters-, Hinterlassenen- und Invalidenversicherung, 2006 n. 35, JÖHL, op cit., p. 1844 s n. 163).</w:t>
      </w:r>
    </w:p>
    <w:p>
      <w:r>
        <w:t>A/3462/2018 - 9/18 - b.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directives de l'office fédéral des assurances sociales concernant les prestations complémentaires à l’AVS et à l’AI [ci-après : DPC]).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(reposant sur une valeur officielle ou reconnue comme telle) (arrêt du Tribunal fédéral 9C_540/2009 du 17 septembre 2009 ; ch. 3444.03 DPC). c. Dans la mesure où il n’y a lieu de tenir compte que des actifs dont l’assuré peut disposer sans restriction et qui sont effectivement versés, ne sont notamment pas pris en considération pour le calcul de la prestation complémentaire : les éléments de fortune dont l’assuré est usufruitier ou titulaire d’un droit d’habitation ainsi que leur valeur capitalisée. Cette règle se justifie par le fait que si les titulaires d’un usufruit ou d’un droit d’habitation ont un droit d’usage sur la chose, ils n’ont pas le droit d’en disposer librement puisqu’ils n’en deviennent pas propriétaires. Une fortune théorique ne saurait dès lors entrer en ligne de compte (VALTERIO, op cit., p. 144-145 n. 45 ad art. 11 et la note de bas de page n. 449 et les références).</w:t>
      </w:r>
    </w:p>
    <w:p>
      <w:r>
        <w:rPr>
          <w:b/>
        </w:rPr>
        <w:t>E. 10</w:t>
      </w:r>
    </w:p>
    <w:p>
      <w:r>
        <w:t>a. Par dessaisissement au sens de l’art. 11 al. 1 let. g LPC, il faut entendre, en particulier, la renonciation à des éléments de revenu ou de fortune sans obligation juridique ni contre-prestation équivalente (ATF 123 V 35 consid. 1). Pour vérifier s'il y a contre-prestation équivalente et pour fixer la valeur d'un éventuel dessaisissement, il faut comparer la prestation et la contre-prestation à leurs valeurs respectives au moment de ce dessaisissement (ATF 120 V 182 consid. 4b).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b.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w:t>
      </w:r>
    </w:p>
    <w:p>
      <w:r>
        <w:t>A/3462/2018 - 10/18 - l'usufruit ;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L’art. 12 al. 1 OPC-AVS/AI précise que la valeur locative du logement occupé par le propriétaire ou l'usufruitier ainsi que le revenu provenant de la sous-location sont estimés selon les critères de la législation sur l'impôt cantonal direct du canton de domicile. Lorsqu’un immeuble n’est pas situé dans le canton de Genève, - respectivement en Suisse -, l’administration fiscale peut faire recours à un taux forfaitaire de 4.5% de la valeur du bien pour fixer la valeur locative, et ce dans la mesure où les conditions locales ne peuvent pas être déterminées aisément, contrairement aux immeubles situés dans le canton (ATAS/237/2012 ; ATAS/43/2010 ; ATAS/732/2009). Le Tribunal fédéral a déjà eu l’occasion de juger que l’emploi de ce taux n'apparaissait pas comme excessif (arrêt P 57/05 du 29 août 2006 concernant un bien immobilier sis en Valais). 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des DPC). Un droit d'usufruit en faveur de la personne qui demande des prestations complémentaires représente pour elle une valeur économique, dans la mesure où elle obtient ainsi une prestation dont elle ne pourrait, à défaut, bénéficier sans engager d'autres moyens financiers ; pour ce motif, il importe de prendre en considération le produit de l'usufruit à titre de produit de la fortune, conformément à l'art. 11 al. 1 let. b LPC. d. S'il s'agit d'un immeuble d'habitation, l'usufruitier peut le mettre en location ou y habiter lui-même (arrêt du Tribunal fédéral 9C_599/2014 du 14 janvier 2015 consid. 3). Conformément à l'art. 758 al. 1 du Code civil suisse du 10 décembre 1907 (CC – RS 210), l'usufruitier dont le droit n'est pas éminemment personnel peut en transférer l'exercice à un tiers. Ce dernier peut donc ne pas user et jouir lui- même de la chose, mais en procurer l'usage et/ou la jouissance à un tiers par convention, soit remettre la chose à bail et percevoir un loyer ou un fermage (arrêt précité consid. 4.1.).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(ch 3433.03 des DPC). Des loyers obtenus, on peut déduire les frais d’entretien des bâtiments et les intérêts hypothécaires jusqu’à concurrence du rendement brut de l’immeuble (art. 10 al. 3 let. b LPC ; VALTERIO, op cit., p. 139 n. 37 ad art. 11).</w:t>
      </w:r>
    </w:p>
    <w:p>
      <w:r>
        <w:rPr>
          <w:b/>
        </w:rPr>
        <w:t>E. 11</w:t>
      </w:r>
    </w:p>
    <w:p>
      <w:r>
        <w:t>Dans le domaine des assurances sociales notamment, la procédure est régie par le principe inquisitoire, selon lequel les faits pertinents de la cause doivent être</w:t>
      </w:r>
    </w:p>
    <w:p>
      <w:r>
        <w:t>A/3462/2018 - 11/18 -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Selon la jurisprudence, le juge appelé à connaître de la légalité d'une décision rendue par les organes de l'assurance sociale doit apprécier l'état de fait déterminant existant au moment où la décision sur opposition litigieuse a été rendue (ATF 121 V 366 consid. 1b).</w:t>
      </w:r>
    </w:p>
    <w:p>
      <w:r>
        <w:rPr>
          <w:b/>
        </w:rPr>
        <w:t>E. 13</w:t>
      </w:r>
    </w:p>
    <w:p>
      <w:r>
        <w:t>a. Aux termes de l’art. 25 al. 1 1ère phrase LPGA, « les prestations indûment touchées doivent être restituées ».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V19 consid. 3a),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 31 LPGA, art. 31 LPC</w:t>
      </w:r>
    </w:p>
    <w:p>
      <w:r>
        <w:t>A/3462/2018 - 12/18 -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ATAS/191/2016). b.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l'art. 31 al. 1 LPC est puni, à moins qu’il ne s’agisse d’un crime ou d’un délit frappé d’une peine plus élevée par le code pénal, d’une peine pécuniaire n’excédant pas 180 jours-amende: a. celui qui, par des indications fausses ou incomplètes, ou de toute autre manière, obtient d’un canton ou d’une institution d’utilité publique, pour lui-même ou pour autrui, l’octroi indu d’une prestation au sens de la présente loi ; b. celui qui, par des indications fausses ou incomplètes, ou de toute autre manière, obtient sans droit une subvention au sens de la présente loi; c. celui qui n’observe pas l’obligation de garder le secret ou abuse, dans l’application de la présente loi, de sa fonction ou tire avantage de sa situation professionnelle au détriment de tiers ou pour son propre profit ; d. Celui qui manque à son obligation de communiquer (art. 31 al. 1 LPGA). Aux termes de l'art. 97 al. 1 CP l’action pénale se prescrit : a. par 30 ans si la peine maximale encourue est une peine privative de liberté à vie ; b. par quinze ans si la peine maximale encourue est une peine privative de liberté de plus de trois ans ; c. par dix ans si la peine maximale encourue est une peine privative de liberté de trois ans ; d. par sept ans si la peine maximale encourue est une autre peine. c. Pour que le délai de plus longue durée prévu par le droit pénal s'applique, on doit être en présence d'un acte punissable. En l'absence d'un jugement pénal, - comme c'est le cas ici au vu l’accord conclu en 2016 entre l’ancien DEAS et le Procureur général -, il appartient au juge administratif d'examiner à titre préjudiciel si les circonstances correspondant à une infraction pénale étaient réunies et, partant, si un délai de prescription plus long que ceux prévus à l'art. 25 al. 2, 1ère phrase, LPGA s’applique en l'espèce (ATF 138 V 74 consid. 6.1). d. Depuis le 1er octobre 2002, l’action pénale se prescrit par sept ans pour l’infraction décrite à l’art. 31 LPC et quinze ans pour celle visée à l’art. 146 CP (art. 97 al. 1 CP). En renvoyant (cf. 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généralement plus lourde de conséquences. e. Le point de départ du délai au sens de l'art. 25 al. 2 2ème phrase LPGA se détermine selon les critères établis à l'art. 98 CP, de sorte que le délai commence à courir dès le jour où l'auteur a exercé son activité coupable (let. a) et dès le jour du</w:t>
      </w:r>
    </w:p>
    <w:p>
      <w:r>
        <w:t>A/3462/2018 - 13/18 - dernier acte si cette activité s'est exercée à plusieurs reprises (let. b). En cas de délit par omission, le début de la prescription coïncide avec le moment où l'auteur aurait dû agir (ATF 138 V 74 consid. 5.2 ; arrêt du Tribunal fédéral 8C_213 du 4 novembre 2016 consid. 5.3.2). f. L’art. 146 CP (escroquerie)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notamment, sur le plan objectif, que l'auteur ait usé de tromperie.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Les devoirs légaux et contractuels du bénéficiaire de prestations d’assurance d’annoncer les modifications de sa situation personnelles susceptibles d’influencer son droit aux prestations ne fondent pas une position de garant (ATF 140 IV 11 consid. 2.3.2 et 2.4). g.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206 consid. 6.3.1.3). h. L’art. 31 al. 1 let. a et d LPC punit d'une peine pécuniaire n'excédant pas 180 jours-amendes celui qui, par des indications fausses ou incomplètes ou de toute autre manière, obtient pour lui-même ou pour autrui l’octroi indu d’une prestation au sens de la loi sur les prestations complémentaires (let. a) ou manque à son obligation de communiquer (let. d). Le but de la norme est l’exécution conforme au droit, la plus efficiente et équitable possible, de la branche d’assurance des prestations complémentaires ainsi que la bonne foi dans les rapports entre les</w:t>
      </w:r>
    </w:p>
    <w:p>
      <w:r>
        <w:t>A/3462/2018 - 14/18 -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OPC-AVS/AI, d’informer les autorités de toutes les circonstances qui pourraient avoir une influence sur le versement ou le montant des prestations. Celui qui commet une infraction au sens de l’art. 31 al. 1 LPC (correspondant à l’art. 16 aLPC) ne crée pas un état de fait contraire au droit mais provoque uniquement le résultat de l’infraction qui consiste en l’obtention indue de prestations. Le résultat de l’infraction ne dure pas mais est accompli à nouveau à chaque versement (ATF 131 IV 83 consid. 2.1.1, in JdT 2007 IV 83). i. L’art. 24 OPC-AVS/AI, qui règle l’obligation de renseigner, prévoit que les ayants droit,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rPr>
          <w:b/>
        </w:rPr>
        <w:t>E. 14</w:t>
      </w:r>
    </w:p>
    <w:p>
      <w:r>
        <w:t>a. D’emblée, il convient de constater que l’argumentation du recourant ne remet pas en cause, dans son principe, son obligation de restituer le montant litigieux. A l’occasion de son autodénonciation du 24 novembre 2016, M. A______ a du reste expressément admis avoir omis de déclarer à l’intimé qu’il avait été (avec son épouse) propriétaire de la villa sise au Portugal de 1995 à 2010 et qu’à cette date, le couple l’avait cédée à leur fils mineur, moyennant un droit d’usufruit. Par la suite, dans le cadre de son recours devant la chambre de céans, le recourant a fait uniquement valoir, en substance, qu’une partie de la créance en restitution du SPC serait prescrite (recte : périmée) et que sa quotité serait erronée, dans la mesure où la valeur du bien immobilier litigieux s’élevait, selon lui, en 2010, à EUR 26’233,17i, ce qui était « dès lors bien loin » du montant de CHF 120’727,90 retenu par l’intimé au titre de sa valeur vénale. Dans la mesure où l’évaluation de ce bien était erronée, les revenus de la fortune immobilière retenus par le SPC l’étaient aussi, sans compter que lesdits revenus avaient été calculés sur la base d’un taux de change également erroné. b. Le recourant semble persister à soutenir que la valeur fiscale de la villa en cause serait seule déterminante pour déterminer son droit à des prestations complémentaire, à l’exclusion de la valeur fiscale. Outre qu’elle n’est aucunement motivée, cette position est contraire à la jurisprudence du Tribunal fédéral précitée (cf. ci-dessus, consid. 10). En effet, en ce qui concerne le revenu dont l’ayant droit s’est dessaisi, il convient de prendre en considération un revenu fictif correspondant</w:t>
      </w:r>
    </w:p>
    <w:p>
      <w:r>
        <w:t>A/3462/2018 - 15/18 - aux intérêts sur la valeur vénale de l’immeuble sur lequel porte l’usufruit, étant par ailleurs relevé que pour fixer la valeur d'un éventuel dessaisissement, il faut comparer la prestation et la contre-prestation à leurs valeurs (vénales) respectives au moment de ce dessaisissement (ATF 120 V 182 précité). Or le dossier ne contient aucune indication permettant d’établir la valeur vénale du bien litigieux au moment de sa donation (effectuée sous réserve d’usufruit), en août 2010. Il conviendra, dès lors, de renvoyer la cause à l’intimé, afin qu’il complète l’instruction sur ce point, le cas échéant avec la participation du recourant, conformément à son devoir de collaboration (cf. ci-dessus, consid. 11), auquel il incombera, le cas échéant, de produire une traduction officielle de l’acte de donation du 10 août 2010, respectivement de l’expertise privée du 7 novembre 2016. c. Pareille solution s’impose d’autant plus que, dans le cadre de ses calculs, le SPC a appliqué à tort, pour la totalité de période litigieuse allant de janvier 2010 à janvier 2017, un taux de conversion uniforme [de CHF 1,5183 (recte : 1,51383) par an, conformément au Journal officiel de l’Union européenne du 6 novembre 2009, C 264/15]. Or, ce taux a souvent varié durant cette période (cf. site internet de la Banque centrale européenne http://sdw.ecb.europa.eu/quickview.do?SERIES_KEY=120.EXR.D.CHF.EUR.SP0 0.A). Il incombera donc à l’administration de recalculer les montant en cause sur la base du taux de conversion annuel moyen correspondant aux années litigieuses, le cours de conversion applicable étant celui déterminant du début de l’année correspondante (ATAS/1290/2013 du 20 décembre 2013 consid. 10). A juste titre, le recourant ne remet pas vraiment en cause l’application analogique, en l’espèce, du taux de conversion applicable aux rentes payées en devises étrangères. En effet, bien que ces directives concernent les rentes servies, elles sont applicables mutatis mutandis aux autres éléments composant les revenus déterminants, tels que la fortune immobilière (cf. dans ce sens : ATAS/589/2019 du 27 juin 2019 consid. 8 ; ATAS/1290/2013 du 20 décembre 2013 consid. 10). Enfin, le SPC devra également prendre en compte la déduction forfaitaire relative aux frais d’entretien de ce bien, que l’usufruitier a assumés, ou aurait été appelé à assumer (cf. art. 10 al. 3 let. b LPC, 16 al. 1 OPC-AVS/AI) (DPC n° 3260.02 et 3482.12). d. Par surabondance, on relèvera que l’argument (avancé au stade de l’opposition) selon lequel la villa en cause serait difficile, voire impossible à vendre, au motif qu’elle se situait dans un quartier populaire, ne saurait être suivi. En effet, cette circonstance a dûment été (implicitement) prise en compte dans l’expertise réalisée par le bureau portugais G______ (comp. arrêt du Tribunal fédéral 9C_751/2018 du</w:t>
      </w:r>
    </w:p>
    <w:p>
      <w:r>
        <w:rPr>
          <w:b/>
        </w:rPr>
        <w:t>E. 16</w:t>
      </w:r>
    </w:p>
    <w:p>
      <w:r>
        <w:t>S’agissant du gain hypothétique de l’épouse du recourant retenu dans la décision litigieuse pour la période du 1er février 2010 au 31 janvier 2017, la chambre de céans observera, par économie de procédure, qu’il avait déjà été pris en compte par le SPC dans ses précédentes décisions afférentes à cette période, lesquelles sont aujourd’hui formellement entrées en force, faute d’avoir été attaquées. Il n’y a donc pas lieu d’y revenir. Au surplus, les arguments avancés par le recourant, au stade du recours seulement (situation financière du couple « particulièrement délicate »,</w:t>
      </w:r>
    </w:p>
    <w:p>
      <w:r>
        <w:t>A/3462/2018 - 17/18 - « rente moyenne d’impotence » perçue par leur fille et problèmes de santé allégués par son épouse), si tant est qu’ils soient recevables, ne constituent pas des éléments nouveaux susceptibles d’entraîner une reconsidération ou une révision desdites décisions au sens où l’entend l’art. 52 al. 1 et 2 LPGA.</w:t>
      </w:r>
    </w:p>
    <w:p>
      <w:r>
        <w:rPr>
          <w:b/>
        </w:rPr>
        <w:t>E. 17</w:t>
      </w:r>
    </w:p>
    <w:p>
      <w:r>
        <w:t>Au vu de ce qui précède, le recours sera partiellement admis, les décisions entreprises annulées et la cause renvoyée à l'intimé pour qu'il procède à de nouveaux calculs et prononce de nouvelles décisions.</w:t>
      </w:r>
    </w:p>
    <w:p>
      <w:r>
        <w:rPr>
          <w:b/>
        </w:rPr>
        <w:t>E. 18</w:t>
      </w:r>
    </w:p>
    <w:p>
      <w:r>
        <w:t>Le recourant, représenté par un conseil, et obtenant partiellement gain de cause, aurait normalement droit à une indemnité de procédure, réduite, à titre de participation à ses frais et dépens (art. 61 let. g LPGA ; art. 6 du règlement sur les frais, émoluments et indemnités en matière administrative, du 30 juillet 1986 [RFPA – RS/GE E 5 10.03] ; ATF 126 V 11 consid. 2). Toutefois, le contenu du recours n'ayant eu aucune incidence sur le sort de la présente procédure, - le motif qui a conduit à l'annulation de la décision entreprise ayant dû être relevé d'office par la chambre de céans -, il n'y a pas lieu d’allouer des dépens (comp. arrêts du Tribunal administratif fédéral D-894/2014/D-893/2014 du 24 avril 2014 et E- 3162/2011 du 6 décembre 2011 consid. 6.2).</w:t>
      </w:r>
    </w:p>
    <w:p>
      <w:r>
        <w:rPr>
          <w:b/>
        </w:rPr>
        <w:t>E. 19</w:t>
      </w:r>
    </w:p>
    <w:p>
      <w:r>
        <w:t>Pour le surplus, la procédure est gratuite (art. 61 let. a LPGA).</w:t>
      </w:r>
    </w:p>
    <w:p>
      <w:r>
        <w:t>A/3462/2018 - 18/18 - PAR CES MOTIFS, LA CHAMBRE DES ASSURANCES SOCIALES :</w:t>
      </w:r>
    </w:p>
    <w:p>
      <w:r>
        <w:t>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