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ATAS/1128/2017 vom 12. Dezember 2017</w:t>
      </w:r>
    </w:p>
    <w:p>
      <w:r>
        <w:t>GE Cour de justice, 2017-12-12, FR</w:t>
      </w:r>
    </w:p>
    <w:p>
      <w:r>
        <w:rPr>
          <w:b/>
        </w:rPr>
        <w:t xml:space="preserve">Quelle: </w:t>
      </w:r>
      <w:r>
        <w:t>https://mcp.opencaselaw.ch/entscheid/ge_gerichte_ATAS_1128_2017</w:t>
      </w:r>
    </w:p>
    <w:p>
      <w:r>
        <w:t>FR: GE_GERICHTE ATAS/1128/2017 du 12 décembre 2017</w:t>
      </w:r>
    </w:p>
    <w:p>
      <w:r>
        <w:t>IT: GE_GERICHTE ATAS/1128/2017 del 12 dicembre 2017</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w:t>
      </w:r>
    </w:p>
    <w:p>
      <w:r>
        <w:t>A/4434/2016 - 12/21 -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Interjeté le 28 décembre 2016 contre la décision litigieuse du 7 décembre 2016, le recours a été formé en temps utile (art.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présent recours sera donc déclaré recevable.</w:t>
      </w:r>
    </w:p>
    <w:p>
      <w:r>
        <w:rPr>
          <w:b/>
        </w:rPr>
        <w:t>E. 2</w:t>
      </w:r>
    </w:p>
    <w:p>
      <w:r>
        <w:t>Il convient de définir préalablement l’objet du litige.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toutefois pas limité au point qu'il doive s'abstenir de se prononcer sur des périodes à propos desquelles l'octroi de prestations n'est pas remis en cause. En effet, l’augmentation, la réduction ou la suppression d’une rente par voie de révision repose toujours - même lorsqu’elle est rétroactive et décidée simultanément avec l’octroi de la rente – sur une comparaison de l’état de fait existant à l‘époque de la décision d’octroi de la rente (ou du début du droit à celle-ci) avec les circonstances prévalant</w:t>
      </w:r>
    </w:p>
    <w:p>
      <w:r>
        <w:t>A/4434/2016 - 13/21 - au moment de la révision (cf. ATF 125 V 413 consid. 2d in fine et les arrêts cités). Dans un arrêt du 12 juillet 2007, le Tribunal fédéral a précisé que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al. 1 RAI (arrêt du Tribunal fédéral I 716 du 12 juillet 2007 consid. 5.2). Il découle de ce qui précède que même si, en l’espèce, seule la suppression de la rente entière d’invalidité au 31 juillet 2015 est contestée, la chambre de céans ne saurait se contenter de déterminer s’il y a matière à révision. Il lui incombe, le cas échéant, d’examiner également si les conditions d’octroi d’une rente entière à compter du 1er mai 2014 sont réunies (cf. ATF 125 V 413 consid. 3b).</w:t>
      </w:r>
    </w:p>
    <w:p>
      <w:r>
        <w:rPr>
          <w:b/>
        </w:rPr>
        <w:t>E. 3</w:t>
      </w:r>
    </w:p>
    <w:p>
      <w:r>
        <w:t>a. Selon la jurisprudence, il n’est pas admissible que l’administration rende plusieurs décisions – échelonnées dans le temps – pour déterminer rétroactivement le degré d’invalidité d’une personne assurée. Ainsi, l’octroi d’une rente d’invalidité dégressive et/ou temporaire doit faire l’objet d’une seule décision notifiée à un seul et même moment. Seule une telle approche est compatible avec l’obligation de l’office AI de clarifier et évaluer l’état de fait sur l’ensemble de la période courant jusqu’à la prise d’une décision. En revanche, l’administration ne saurait procéder à une évaluation anticipée de l’invalidité pour réduire et/ou limiter l’octroi d’une rente pour la période postérieure à ladite décision (ATF 131 V 164 consid. 2.3.3 et les arrêts cités).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Selon la jurisprudence, l'art. 17 LPGA sur la révision d'une rente en cours s'applique également à la décision par laquelle une rente échelonnée dans le temps est accordée avec effet rétroactif, la date de la modification étant déterminée conformément à l'art. 88a du règlement sur l'assurance-invalidité du 17 janvier 1961 (RAI – RS 831.201 ; ATF 131 V 164 consid. 2.2 p. 165; 125 V 413 consid. 2d; arrêt du Tribunal fédéral 9C_134/2015 consid. 4.1 et les références). Suivant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revanche, l'art. 88bis RAI n'est pas applicable dans cette éventualité, du moment</w:t>
      </w:r>
    </w:p>
    <w:p>
      <w:r>
        <w:t>A/4434/2016 - 14/21 - que l'on ne se trouve pas en présence d'une révision de la rente au sens strict (ATF 125 V 413 consid. 2d; arrêt du Tribunal fédéral des assurances I 621/04 du 12 octobre 2005 consid. 3.2 et les références; MEYER/REICHMUTH, Bundesgesetz über die Invalidenversicherung (IVG), 3ème éd., 2014, n. 110 ad art. 30-31; voir aussi le ch. 4018 de la Circulaire de l'OFAS sur l'invalidité et l'impotence dans l'assurance-invalidité [CIIAI], valable à partir du 1er janvier 2015).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t>A/4434/2016 - 15/21 -</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A/4434/2016 - 16/21 -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7</w:t>
      </w:r>
    </w:p>
    <w:p>
      <w:r>
        <w:t>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w:t>
      </w:r>
    </w:p>
    <w:p>
      <w:r>
        <w:t>A/4434/2016 - 17/21 - nature à influencer l’appréciation au moment où la décision attaquée a été rendue (ATF 99 V 102 et les arrêts cités; arrêt du Tribunal fédéral des assurances I 321/04 du 18 juillet 2005 consid. 5).</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(ATF 137 V 210 consid. 4.4.1.3 et 4.4.1.4; SVR 2010 IV n. 49 p. 151, consid. 3.5 ; arrêt du Tribunal fédéral 8C_760/2011 du 26 janvier 2012 consid. 3).</w:t>
      </w:r>
    </w:p>
    <w:p>
      <w:r>
        <w:rPr>
          <w:b/>
        </w:rPr>
        <w:t>E. 10</w:t>
      </w:r>
    </w:p>
    <w:p>
      <w:r>
        <w:t>En l’espèce, il n’est pas contesté par les parties que la recourante présentait une incapacité de travail complète dans toute activité depuis le 7 mai 2013 et que celle-ci s’est maintenue à tout le moins jusqu’à la fin du mois d’avril 2015. En revanche, elles s’opposent sur la question du recouvrement d’une capacité de travail de 50 % dans une activité adaptée à partir du mois de mai 2015. Bien que seule la réduction de la rente soit contestée, la réduction de la rente par voie de révision – même lorsqu’elle est rétroactive et décidée simultanément avec l’octroi de la rente – n’en dispense pas moins la chambre de céans de comparer les circonstances prévalant au moment du début du droit à la rente d’une part et celles existant au moment de la diminution de la rente d’autre part (cf. ci-dessus : consid. 2).</w:t>
      </w:r>
    </w:p>
    <w:p>
      <w:r>
        <w:rPr>
          <w:b/>
        </w:rPr>
        <w:t>E. 11</w:t>
      </w:r>
    </w:p>
    <w:p>
      <w:r>
        <w:t>Dans le cas particulier, il est constant que l’incapacité de travail de la recourante a été totale durant le délai d’attente de douze mois, soit du 7 mai 2013 au 7 mai 2014</w:t>
      </w:r>
    </w:p>
    <w:p>
      <w:r>
        <w:t>A/4434/2016 - 18/21 - dans son activité habituelle, et même en tout état jusqu’à fin avril 2015, et même au-delà de cette date. Quant à elle, la capacité de travail de la recourante dans une activité adaptée a fait l’objet d’appréciations médicales ayant évolué. Alors qu’il l’avait évaluée entre 40 % et 50 % le 12 novembre 2013, le Dr C______ a précisé, le 25 avril 2014, qu’elle était également nulle, avis qu’il a confirmé le 7 août 2014. De son côté, la Dresse F______ a indiqué, dans un rapport du 7 juillet 2014, que la recourante pourrait exercer une activité adaptée, sans préciser à quel taux d’activité, mais elle a rectifié cette appréciation à peine un mois plus tard, dans son rapport du</w:t>
      </w:r>
    </w:p>
    <w:p>
      <w:r>
        <w:rPr>
          <w:b/>
        </w:rPr>
        <w:t>E. 13</w:t>
      </w:r>
    </w:p>
    <w:p>
      <w:r>
        <w:t>a. Au vu de ce qui précède, le recours doit être admis, la décision querellée annulée en tant qu’elle réduit la rente entière d’invalidité allouée à la recourante à une demi-rente à compter du 1er août 2015 et la cause renvoyée à l’intimé pour instruction complémentaire dans le sens des considérants et nouvelle décision. b. La procédure de recours en matière de contestations portant sur l’octroi ou le refus de prestations de l’assurance-invalidité étant soumise à des frais de justice (art. 69 al. 1bis LAI; art. 89H al. 4 LPA), il y a lieu de condamner l’intimé au paiement d'un émolument, arrêté au minimum de CHF 200.-.</w:t>
      </w:r>
    </w:p>
    <w:p>
      <w:r>
        <w:t>A/4434/2016 - 20/21 - Une indemnité de procédure doit être allouée à la recourante, qui obtient partiellement gain de cause et est représentée par un avocat (art. 61 let. g LPGA). Cette indemnité sera arrêtée à CHF 1'500.- (art. 6 du règlement sur les frais, émoluments et indemnités en procédure administrative du 30 juillet 1986 – RFPA – E 5 10.03). *****</w:t>
      </w:r>
    </w:p>
    <w:p>
      <w:r>
        <w:t>A/4434/2016 - 21/21 -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