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ATAS/1128/2010 vom 9. November 2010</w:t>
      </w:r>
    </w:p>
    <w:p>
      <w:r>
        <w:t>GE Cour de justice, 2010-11-09, FR</w:t>
      </w:r>
    </w:p>
    <w:p>
      <w:r>
        <w:rPr>
          <w:b/>
        </w:rPr>
        <w:t xml:space="preserve">Quelle: </w:t>
      </w:r>
      <w:r>
        <w:t>https://mcp.opencaselaw.ch/entscheid/ge_gerichte_ATAS_1128_2010</w:t>
      </w:r>
    </w:p>
    <w:p>
      <w:r>
        <w:t>FR: GE_GERICHTE ATAS/1128/2010 du 9 novembre 2010</w:t>
      </w:r>
    </w:p>
    <w:p>
      <w:r>
        <w:t>IT: GE_GERICHTE ATAS/1128/2010 del 9 novembre 2010</w:t>
      </w:r>
    </w:p>
    <w:p>
      <w:pPr>
        <w:pStyle w:val="Heading2"/>
      </w:pPr>
      <w:r>
        <w:t>Erwägungen</w:t>
      </w:r>
    </w:p>
    <w:p>
      <w:r>
        <w:rPr>
          <w:b/>
        </w:rPr>
        <w:t>E. 1</w:t>
      </w:r>
    </w:p>
    <w:p>
      <w:r>
        <w:t>Conformément à l'art. 56V al. 1 let. a ch. 4 et let. c de la loi sur l'organisation judi- ciaire, du 22 novembre 1941 (LOJ; RS E 2 05), le Tribunal cantonal des assurances sociales connaît en instance unique tant des contestations prévues à l’art. 56 de la loi fédérale sur la partie générale du droit des assurances sociales, du 6 octobre 2000 (LPGA; RS 830.1) qui sont relatives à la loi fédérale sur l'assurance-maladie, du 18 mars 1994 (LAMal; RS 832.10) que des contestations relatives aux assuran- ces complémentaires à l’assurance-maladie sociale prévue par la LAMal, et à l’assurance-accidents obligatoire prévue par la loi fédérale sur l'assurance- accidents, du 20 mars 1981 (LAA; RS 832.20), relevant de la loi fédérale sur la contrat d'assurance, du 2 avril 1908 (loi sur le contrat d’assurance, LCA; RS 221.229.1). Sa compétence pour juger du cas d’espèce est ainsi établie.</w:t>
      </w:r>
    </w:p>
    <w:p>
      <w:r>
        <w:rPr>
          <w:b/>
        </w:rPr>
        <w:t>E. 2</w:t>
      </w:r>
    </w:p>
    <w:p>
      <w:r>
        <w:t>L'assurance en cause est une assurance-maladie complémentaire soumise à la LCA, ce qui est confirmé par l’art. 4 CGA. La LCA a subi des modifications. La novelle du 17 décembre 2004 (FF 2003 3353) est entrée en vigueur le 1er janvier 2006, respectivement le 1er janvier 2007. Cepen- dant, du point de vue temporel, sont en principe applicables les règles de droit en vigueur au moment où les faits juridiquement déterminants se sont produits. Dès lors les dispositions de la LCA seront citées dans leur teneur en vigueur au moment des faits déterminants, à savoir postérieurement au 1er janvier 2007 (cf. ATF 130 V 446 consid. 1 et ATF 129 V 4 consid. 1.2).</w:t>
      </w:r>
    </w:p>
    <w:p>
      <w:r>
        <w:rPr>
          <w:b/>
        </w:rPr>
        <w:t>E. 3</w:t>
      </w:r>
    </w:p>
    <w:p>
      <w:r>
        <w:t>L'art. 46a LCA prescrit que le for se définit selon la loi du 24 mars 2000 sur les fors (LFors ; RS 272) dont l'art. 5 prévoit que, pour les actions portant sur les activités</w:t>
      </w:r>
    </w:p>
    <w:p>
      <w:r>
        <w:t>A/570/2010 - 8/14 - industrielles, commerciales ou professionnelles d’un établissement ou d’une suc- cursale, le for est celui du domicile ou du siège du défendeur ou celui du lieu dans lequel cet établissement ou cette succursale est située. La défenderesse ayant une succursale à Genève, il ne fait pas de doute qu'un for existe au lieu d'exploitation de la succursale (ATF non publié 4C.270/2003 du 28 novembre 2003 consid. 1.1). La loi fédérale sur la surveillance des entreprises d’assurance du 17 décembre 2004 (LSA; RS 961.01) ne contient pas de règles spécifiques concernant les délais rela- tifs aux contestations de droit privé qui s’élèvent entre les entreprises d’assurance et les assurés. La présente demande est donc également recevable à la forme.</w:t>
      </w:r>
    </w:p>
    <w:p>
      <w:r>
        <w:rPr>
          <w:b/>
        </w:rPr>
        <w:t>E. 4</w:t>
      </w:r>
    </w:p>
    <w:p>
      <w:r>
        <w:t>Le litige porte sur le droit de la demanderesse à obtenir la prise en charge de son séjour du 13 janvier au 2 février 2010 à la Clinique bernoise de Montana, en divi- sion privée, par les assurances complémentaires de la défenderesse.</w:t>
      </w:r>
    </w:p>
    <w:p>
      <w:r>
        <w:rPr>
          <w:b/>
        </w:rPr>
        <w:t>E. 5</w:t>
      </w:r>
    </w:p>
    <w:p>
      <w:r>
        <w:t>Pour les contestations relatives aux assurances complémentaires à l’assurance- maladie sociale au sens de la LAMal, les cantons prévoient une procédure simple et rapide dans laquelle le juge établit d’office les faits et apprécie librement les preu- ves (art. 85 al. 2 LSA). En introduisant cet allégement de procédure, le législateur s'est inspiré des dispositions de droit fédéral motivées par des buts de politique so- ciale en matière de baux à loyer (art. 274d CO), de baux à ferme (art. 301 CO) et de contrats de travail (art. 343 CO; ATF 127 III 421 consid. 2 et les références). Selon la jurisprudence rendue en matière de contrat de travail et de bail, le juge doit éta- 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 roger les parties et les informer de leur devoir de collaboration et de production des pièces; il est tenu de s'assurer que les allégations et offres de preuves sont complè- tes uniquement lorsqu'il a des motifs objectifs d'éprouver des doutes sur ce point. L'initiative du juge ne va pas au-delà de l'invitation faite aux parties de mentionner leurs moyens de preuve et de les présenter. La maxime inquisitoire sociale ne per- met pas d'étendre à bien plaire l'administration des preuves et de recueillir toutes les preuves possibles (ATF 125 III 231 consid. 4a). En vertu de l'art. 8 CC, chaque partie doit, si la loi ne prescrit le contraire, prouver les faits qu'elle allègue pour en déduire son droit. La preuve du sinistre incombe à l'ayant droit, lequel doit sur demande de l'assureur fournir à ce dernier, conformé- ment à l'art. 39 al. 1 LCA, tout renseignement sur les faits à sa connaissance qui peuvent servir à déterminer les circonstances dans lesquelles le sinistre s'est produit ou à fixer les conséquences du sinistre (ATF 130 III 321 consid. 3.1). En consé- quence, la partie qui fait valoir un droit doit prouver les faits fondant ce dernier, tandis que le fardeau de la preuve relatif aux faits supprimant le droit, respective- ment l’empêchant, incombe à la partie, qui affirme la perte du droit ou qui conteste</w:t>
      </w:r>
    </w:p>
    <w:p>
      <w:r>
        <w:t>A/570/2010 - 9/14 - son existence ou son étendue. Cette règle de base peut être remplacée par des dis- positions légales de fardeau de la preuve divergentes et doit être concrétisée dans des cas particuliers (ATF 128 III 271 consid. 2a/aa avec références). Elle s'applique également dans le domaine des contrats d'assurance (ATF 130 III 321 consid. 3.1). Le principe de la libre appréciation des preuves signifie que le juge apprécie libre- ment les preuves, sans être lié par des règles formelles, en procédant à une appré- ciation complète et rigoureuse des preuves. Dès lors, le juge doit examiner de ma- nière objective tous les moyens de preuve, quelle qu'en soit la provenance, puis dé- cider si les documents à disposition permettent de porter un jugement valable sur le droit litigieux (ATF non publié 4A_253/2007 du 13 novembre 2007, consid. 4.2).</w:t>
      </w:r>
    </w:p>
    <w:p>
      <w:r>
        <w:rPr>
          <w:b/>
        </w:rPr>
        <w:t>E. 6</w:t>
      </w:r>
    </w:p>
    <w:p>
      <w:r>
        <w:t>En matière d'assurances complémentaires, les parties sont liées par l'accord qu'elles ont conclu dans les limites de la loi, les caisses-maladie pouvant en principe édicter librement les dispositions statutaires ou réglementaires dans les branches d'assuran- ces complémentaires qui relèvent de la liberté contractuelle des parties, hormis quelques dispositions impératives en matière d’indemnité journalière (ATF 124 V 201 consid. 3d; ATAS/1104/2006). Les conditions générales, lorsqu'elles ont été incorporées au contrat, en font partie intégrante; elles doivent être interprétées selon les mêmes principes que les autres dispositions contractuelles (ATF 133 III 675 consid. 3.3 et ATF 122 III 118 consid. 2a ainsi que les références). Les principes généraux de l'interprétation des contrats s'appliquent au contrat d'as- surance, autant que la loi spéciale ne contient pas de dispositions particulières : l'art. 100 al. 1 LCA renvoie au droit des obligations (cf. ATF 118 II 342 consid. 1a). Il s'ensuit qu’en présence d'un litige sur l'interprétation d'une disposition contrac- tuelle, le juge doit tout d'abord s'efforcer de déterminer la commune et réelle inten- tion des parties, sans s'arrêter aux expressions ou dénominations inexactes dont el- les ont pu se servir, soit par erreur, soit pour déguiser la nature véritable de la convention (art. 18 al. 1 CO).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 tances; le principe de la confiance permet ainsi d'imputer à une partie le sens objec- tif de sa déclaration ou de son comportement, même s'il ne correspond pas à sa vo- lonté intime (ATF 133 III 675 consid. 3.3 et ATF 130 III 417 consid. 3.2). Le sens d'un texte, apparemment clair, n'est certes pas forcément déterminant, de sorte que l'interprétation purement littérale est prohibée. Même si la teneur d'une clause contractuelle paraît limpide à première vue, il peut résulter d'autres condi- tions du contrat, du but poursuivi par les parties ou d'autres circonstances que le</w:t>
      </w:r>
    </w:p>
    <w:p>
      <w:r>
        <w:t>A/570/2010 - 10/14 - texte de ladite clause ne restitue pas exactement le sens de l'accord conclu. Il n'y a cependant pas lieu de s'écarter du sens littéral du texte adopté par les cocontractants lorsqu'il n'existe aucune raison sérieuse de penser qu'il ne correspond pas à leur vo- lonté (ATF 133 III 61 consid. 2.2.1).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 dre de bonne foi à la lecture des conditions générales; si l'assureur entendait appor- ter des restrictions ou des exceptions, il lui incombait de le dire clairement. Savoir si une telle condition est remplie dans le cas concret se détermine d'après le sens généralement donné dans le langage courant aux termes utilisés. Il ne s'agit pas de s'en tenir d'emblée à la solution la plus favorable à l'assuré. Il est vrai, néanmoins, qu'une clause d'exclusion doit être interprétée "restrictivement" (ATF 118 II 342 consid. 1a et ATF 116 II 189 consid. 2a ainsi que les références). Conformément au principe de la confiance, c'est à l'assureur qu'il incombe de délimiter la portée de l'engagement qu'il entend prendre et le preneur n'a pas à supposer des restrictions qui ne lui ont pas été clairement présentées (ATF 133 III 675 consid. 3.3).</w:t>
      </w:r>
    </w:p>
    <w:p>
      <w:r>
        <w:rPr>
          <w:b/>
        </w:rPr>
        <w:t>E. 7</w:t>
      </w:r>
    </w:p>
    <w:p>
      <w:r>
        <w:t>Selon l’art. 21 CGA (édition du 1er janvier 2008), il n’y a pas de couverture d’assurance pour, d’une part, les maladies et traitements résultant d'une consomma- tion abusive d'alcool, de médicaments, de drogues et de substances chimiques (let. k), d’autre part, le suicide, l’automutilation ou la tentative de suicide ou d’automutilation (let. n). Dans un arrêt non publié du 1er octobre 2004 (5C.134/2004, consid. 4), le Tribunal fédéral a déjà eu l’occasion de répondre à des griefs similaires à ceux de la défende- resse, dans un cas semblable de tentative de suicide par abus médicamenteux (prise de 40 milligrammes de Temesta et de 20 comprimés de Nardyl) alors que les CGA excluaient la couverture d’assurance en cas d’abus de médicaments ainsi que de suicide ou de tentative de suicide. Il a jugé que le terme « abus de médicaments » ne pouvait pas être interprété comme ne concernant qu’un comportement préexis- tant de toxicomanie, que cette exclusion de couverture ne pouvait pas être qualifiée d’inhabituelle, que l’étendue de cette exclusion n’était pas restreinte et qu’il ne s’agissait pas d’une clause insolite. Il a rappelé que le refus de prestations était jus- tifié en premier lieu par la tentative de suicide. En l’espèce, le motif du séjour à la clinique bernoise de Montana est une évaluation neuro-orthopédique, une rééducation à la marche, un contrôle antalgique et anti- spasmodique pour le pied gauche en raison d’un syndrome extrapyramidal. Ce der- nier est apparu à la suite de lésions cérébrales post-anoxiques séquellaires au coma dans lequel la demanderesse s’est trouvée lors de son tentamen médicamenteux du</w:t>
      </w:r>
    </w:p>
    <w:p>
      <w:r>
        <w:t>A/570/2010 - 11/14 - 23 novembre 2004. Par conséquent, il s’agit bien d’un traitement résultant d'une consommation abusive de médicaments lors d’une tentative de suicide. Selon la demanderesse, l’abus de médicaments visé par les CGA se réfère à la toxi- comanie et non pas à l’usage unique excessif de médicaments. L’art. 33 LCA concrétise l'adage "in dubio contra stipulatorem" qui veut que, de fa- çon subsidiaire, soit lorsqu'il subsiste un doute sur le sens de dispositions rédigées par l'assureur, ainsi dans les conditions générales préformulées, celles-ci sont à in- terpréter en défaveur de leur auteur ("Unklarheitsregel"; ATF 122 III 118 consid. 2a; 119 II 368 consid. 4b; 118 II 342 consid. 1a). Selon la jurisprudence et la doc- trine, pour que cette règle trouve à s'appliquer, il ne suffit pas que les parties soient en litige sur la signification à donner à une déclaration; encore faut-il que celle-ci puisse être comprise de différentes façons ("zweideutig") et qu'il soit impossible de lever le doute créé par les moyens d'une interprétation ordinaire (ATF 122 III 118 consid. 2d et ATF 118 II 342 consid. 1a ainsi que les références). Contrairement à ce que soutient la demanderesse, dans le langage courant, le terme « abus de médicaments » se définit comme l’usage excessif, immodéré ou mauvais (cf. dictionnaire Robert) de médicaments, sans référence aux notions de volonté ni de faute (ATF non publié 5C.26/2004 du 14 avril 2004, consid. 3.2) et sans réfé- rence à la fréquence dudit usage (unique ou répété). Par conséquent, il n’existe au- cun motif permettant d’admettre que les assurés pourraient comprendre le terme « abus de médicaments » autrement que dans un cas tel que celui qui s’est produit, le 23 novembre 2004, ce d’autant plus que l’injection de morphine accompagnée de Dormicum a été administrée en dose excessive en vue d’un suicide et non pas dans un but de guérison qui est l’usage approprié des médicaments. En outre, le but pre- mier de l’assurance complémentaire n’est pas de couvrir un tel abus de médica- ments. Par conséquent, au vu du but de l’assurance, l’exclusion de couverture en cas d’abus de médicaments n’apparaît pas comme une clause incongrue ou inhabi- tuelle étant précisé que ce type d’exclusion se retrouve fréquemment dans les CGA des assurances complémentaires. Enfin, l’étendue de l’exclusion d’assurance n’est pas restreinte, de sorte qu’on ne peut pas reprocher à l'assureur de ne pas avoir clai- rement déclaré les restrictions ou les exceptions à la couverture d’assurance. S’agissant de l’exclusion de couverture d’assurance en cas de tentative de suicide, le présent cas ne concerne pas une hospitalisation en division privée ayant pour but de traiter un patient venant de procéder à une tentative de suicide, mais bien le trai- tement des séquelles d’une telle tentative faite plus de cinq ans auparavant. Au vu du sort de la demande, il n’est toutefois pas nécessaire d’interpréter cette condition d’exclusion de couverture d’assurance afin de déterminer si elle peut être invoquée dans un tel cas.</w:t>
      </w:r>
    </w:p>
    <w:p>
      <w:r>
        <w:t>A/570/2010 - 12/14 -</w:t>
      </w:r>
    </w:p>
    <w:p>
      <w:r>
        <w:rPr>
          <w:b/>
        </w:rPr>
        <w:t>E. 8</w:t>
      </w:r>
    </w:p>
    <w:p>
      <w:r>
        <w:t>La demanderesse invoque également un abus de droit de la défenderesse au motif que cette dernière aurait dû, sur la base des rapports médicaux, avoir connaissance de sa tentative de suicide et qu’en prenant en charge ses diverses hospitalisations en division privée, elle l’a confortée dans l’idée que sa nouvelle hospitalisation serait couverte dans le cadre de l’assurance complémentaire. Le principe de la bonne foi, ancré à l'art. 2 al. 1 CC, s'applique à l'ensemble des domaines du droit. Selon l'art. 2 al. 2 CC, l'abus manifeste d'un droit n'est pas pro- tégé par la loi. L'existence d'un tel abus se détermine selon les circonstances concrètes du cas, en s'inspirant des diverses catégories mises en évidence par la ju- risprudence et la doctrine (ATF 129 III 493 consid. 5.1 p. 497 et les arrêts cités). L'adjectif «manifeste» indique qu'il convient de se montrer restrictif dans l'admis- sion de l'abus de droit (ATF 128 III 284 consid. 5b non publié et l'arrêt cité). Les cas typiques sont l'absence d'intérêt à l'exercice d'un droit, l'utilisation d'une institu- tion juridique contrairement à son but, la disproportion manifeste des intérêts en présence, l'exercice d'un droit sans ménagement ou l'attitude contradictoire (cf. ATF 129 III 493 consid. 5.1 et ATF 128 III 284 consid. 5b non publié et les ar- rêts cités). Il incombe à la partie qui se prévaut d'un abus de droit d'établir les cir- constances particulières qui autorisent à retenir cette exception (ATF 134 III 52 consid. 2.1 in fine et les arrêts cités). La règle prohibant l'abus de droit autorise le juge à corriger les effets de la loi dans certains cas où l'exercice d'un droit allégué créerait une injustice manifeste. Cependant, son application doit demeurer restric- tive et se concilier avec la finalité, telle que l'a voulue le législateur, de la norme matérielle applicable au cas concret (ATF 107 Ia 206 consid. 3b et les références). En l’espèce, même si la défenderesse a accordé deux garanties de paiement pour des séjours en division privée à l’hôpital de Prangins du 8 décembre 2004 au 4 fé- vrier 2005 et du 16 au 18 avril 2008, ces garanties ne permettent pas de conclure que la Caisse a admis par actes concluants une prise en charge définitive de toutes les hospitalisations futures de la demanderesse en division privée. En effet, contrai- rement à ce que soutient cette dernière, la défenderesse n’a pas eu connaissance du tentamen médicamenteux du 23 novembre 2004 avant la réception du rapport du Dr C____________ daté du 25 avril 2008, qui fait état d’un épisode dépressif ma- jeur sévère dans le cadre d’un trouble dépressif récurrent avec comorbidité anxieuse mixte et abus de médicaments. Par conséquent, la première garantie de paiement accordée à fin 2004 l’a été sans que la défenderesse n’ait eu connaissance du tenta- men médicamenteux. S’agissant de la deuxième garantie de paiement, il n’est pas clair si elle a été émise avant ou après réception du rapport du Dr C____________. Il n’y a toutefois pas lieu d’instruire cette question car, de toute façon, une telle ga- rantie de paiement, même si elle a été accordée par erreur, ne peut pas obliger la dé- fenderesse à prendre en charge toutes les futures hospitalisations en division privée de la demanderesse en lien avec une consommation excessive de médicaments. En effet, invoquer un abus de droit dans de telles circonstances aurait pour consé- quence qu’une assurance ne pourrait jamais rectifier une prise en charge erronée et</w:t>
      </w:r>
    </w:p>
    <w:p>
      <w:r>
        <w:t>A/570/2010 - 13/14 - y mettre un terme. Dans le cas d’un assuré qui contestait le refus de prise en charge d’une hospitalisation par la caisse au motif qu’il avait bénéficié des prestations de celle-ci lors de précédentes hospitalisations, le Tribunal fédéral a jugé qu’un tel fait ne saurait être décisif, car le besoin d'hospitalisation doit être examiné de cas en cas, en fonction des circonstances particulières qui la motivent (ATFA non publié K 35/04 du 29 juin 2004, consid 6.3). Par conséquent, c’est à juste titre que la dé- fenderesse a examiné, lors de la demande de prise en charge de l’hospitalisation en division privée à la clinique bernoise de Montana dès le 13 janvier 2010, s’il y avait lieu ou non de verser ses prestations. Enfin l’argument de la demanderesse selon lequel la défenderesse a appris tardive- ment les motifs de ses diverses hospitalisations par son manque de précision dans ses questions et qu’elle doit en subir les conséquences n’est pas pertinent. En effet, les interventions du médecin-conseil ne doivent pas aller au-delà de ce qu'exige un bon fonctionnement de l'assurance-maladie, respectivement de l’assurance com- plémentaire et, en particulier, de ce qui est nécessaire pour examiner si les condi- tions d'une prise en charge d'une prestation sont remplies (ATF 127 V 43 consid. 3). Or, au vu des réponses données par les divers médecins à ses questions, le mé- decin-conseil de la défenderesse pouvait estimer disposer des éléments nécessaires pour examiner si les conditions d’une prise en charge étaient remplies, sans poser des questions plus invasives. A défaut de circonstances particulières révélant la mauvaise foi de la défenderesse, un abus de droit ne saurait ainsi être retenu, l’art. 2 al. 2 CC ne s'appliquant que de manière restrictive.</w:t>
      </w:r>
    </w:p>
    <w:p>
      <w:r>
        <w:rPr>
          <w:b/>
        </w:rPr>
        <w:t>E. 9</w:t>
      </w:r>
    </w:p>
    <w:p>
      <w:r>
        <w:t>Au vu de ce qui précède, la demande doit être rejetée. Pour le surplus, la procédure est gratuite (art. 89H al. 1 LPA).</w:t>
      </w:r>
    </w:p>
    <w:p>
      <w:r>
        <w:t>A/570/2010 - 14/14 -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