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ATAS/1127/2019 vom 2. Dezember 2019</w:t>
      </w:r>
    </w:p>
    <w:p>
      <w:r>
        <w:t>GE Cour de justice, 2019-12-02, FR</w:t>
      </w:r>
    </w:p>
    <w:p>
      <w:r>
        <w:rPr>
          <w:b/>
        </w:rPr>
        <w:t xml:space="preserve">Quelle: </w:t>
      </w:r>
      <w:r>
        <w:t>https://mcp.opencaselaw.ch/entscheid/ge_gerichte_ATAS_1127_2019</w:t>
      </w:r>
    </w:p>
    <w:p>
      <w:r>
        <w:t>FR: GE_GERICHTE ATAS/1127/2019 du 2 décembre 2019</w:t>
      </w:r>
    </w:p>
    <w:p>
      <w:r>
        <w:t>IT: GE_GERICHTE ATAS/1127/2019 del 2 dicembre 2019</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90 des CGA de SWICA pour l’assurance-maladie collective régissant l’indemnité journalière selon la LCA prévoit que pour toutes les actions au sujet du contrat d’assurance, le preneur d’assurance et l’assuré peuvent élire à leur choix le for ordinaire ou celui de leur domicile suisse ou dans la principauté du Liechtenstein. En l’espèce, tant la demanderesse que la défenderesse ont leur domicile à Genève, de sorte que la chambre de céans est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w:t>
      </w:r>
    </w:p>
    <w:p>
      <w:r>
        <w:t>A/1880/2018 - 6/11 - 558 consid. 4.5 et 4.6; ATAS/577/2011 du 31 mai 2011), étant précisé que le législateur genevois a fait usage de cette possibilité (art. 134 al. 1 let. c LOJ).</w:t>
      </w:r>
    </w:p>
    <w:p>
      <w:r>
        <w:rPr>
          <w:b/>
        </w:rPr>
        <w:t>E. 4</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5</w:t>
      </w:r>
    </w:p>
    <w:p>
      <w:r>
        <w:t>En vertu de l'art. 8 CC, chaque partie doit, si la loi ne prescrit le contraire, prouver les faits qu'elle allègue pour en déduire son droit. En conséquence, la partie qui fait valoir un droit doit prouver les faits fondant ce dernier, tandis que le fardeau de la</w:t>
      </w:r>
    </w:p>
    <w:p>
      <w:r>
        <w:t>A/1880/2018 - 7/11 -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w:t>
      </w:r>
    </w:p>
    <w:p>
      <w:r>
        <w:rPr>
          <w:b/>
        </w:rPr>
        <w:t>E. 6</w:t>
      </w:r>
    </w:p>
    <w:p>
      <w:r>
        <w:t>En premier lieu, la défenderesse soulève l’exception de chose jugée. a. En vertu de l'art. 59 al. 2 let. e CPC en relation avec l'art. 59 al. 1 CPC, le tribunal n'entre pas en matière sur la nouvelle demande lorsque le litige a déjà fait l'objet d'une décision entrée en force. Il s'agit là de l'effet de l'autorité de la chose jugée attachée à la décision qui est entrée en force de chose jugée formelle; la partie adverse doit soulever l'exception de l'autorité de la chose jugée (res judicata), mais le juge peut aussi en tenir compte d'office (art. 60 CPC). Pour que l'exception de</w:t>
      </w:r>
    </w:p>
    <w:p>
      <w:r>
        <w:t>A/1880/2018 - 8/11 - l'autorité de la chose jugée soit admise, il faut que la prétention qui est invoquée dans le nouveau procès (ou qui est l'objet de la question préjudicielle qui doit y être tranchée) soit identique à celle qui a fait l'objet de la précédente décision. Cela nécessite de comparer le contenu de la décision revêtue de l'autorité de la chose jugée avec l'objet de la nouvelle demande. En principe, l'autorité de la chose jugée ne s'attache qu'au seul dispositif de la décision, qui a statué matériellement sur la prétention (ATF 121 III 474 consid. 4a). Toutefois, pour connaître le sens exact et la portée précise du dispositif de la décision, il faut souvent en examiner les motifs qui permettent de savoir quel a été l'objet de la demande et ce sur quoi le juge s'est réellement prononcé (ATF 116 II 738 consid. 2a in fine); en effet, lorsque le demandeur a réclamé une somme d'argent, il ne résulte pas du dispositif quelle prétention matérielle il a fait valoir. L'autorité de la chose jugée s'étend à tous les faits faisant partie de la cause, y compris les faits et preuves dont le juge n'a pas pu tenir compte parce qu'ils n'ont pas été allégués régulièrement et en temps utile (arrêt 4A_66/2016 du 22 août 2016 consid. 4.1.1; ATF 115 II 187 consid. 3b). L'autorité de la chose jugée est un principe de droit matériel, et non de procédure, pour toutes les prétentions de droit privé fédéral (arrêt 4A_568/2013 du 16 avril 2014 consid. 2.2; ATF 121 III 474 consid. 2 et les arrêts cités). L'objet de la nouvelle demande est délimité par les conclusions et par le complexe de faits invoqué à l'appui de celles-ci; la cause juridique n'est pas déterminante, le juge appliquant le droit d'office (art. 57 CPC) (ATF 139 III 126 consid. 3.2.3; 136 III 123 consid. 4.3.1). Lorsque le demandeur réclame une somme d'argent, il faut se reporter aux motifs de la demande. L'identité entre la prétention tranchée dans la précédente décision et la prétention réclamée par la nouvelle demande, qui fonde l'exception de l'autorité de la chose jugée, ne doit pas s'entendre d'un point de vue grammatical, mais matériel (ATF 139 III 126 consid. 3.2.3 in fine; 123 III 16 consid. 2a). b. En l’espèce, la demande déposée par-devant la chambre de céans le 15 juillet 2016 et qui a donné lieu à l’arrêt du 19 octobre 2017 (ATAS7937/2017) portait sur « la constatation de l’exécution d’un contrat d’assurance et en exécution de prestations ». Faute cependant de prétentions chiffrées, la chambre de céans n’a pas examiné le fond et a déclaré la demande irrecevable, ce que le Tribunal fédéral a confirmé par arrêt du 11 janvier 2018 (4A _618/2017). La nouvelle demande introduite le 31 mai 2018 comporte des conclusions chiffrées en paiement d’indemnités journalières postérieures au 31 juillet 2013, à hauteur du montant de CHF 48'800.-, porté à CHF 49’838.50 dans les dernières conclusions. Au vu de ce qui précède, force est de constater que l’autorité de chose jugée de l’arrêt de la chambre de céans du 19 octobre 2017 ne se rapporte qu’aux conditions de recevabilité de l’action, étant relevé que la chambre de céans n’a tranché aucune prétention faute de conclusions chiffrées. Il n’y a par conséquent pas identité entre</w:t>
      </w:r>
    </w:p>
    <w:p>
      <w:r>
        <w:t>A/1880/2018 - 9/11 - l’action en constatation de droit tranchée dans la précédente décision et la prétention réclamée par la nouvelle demande. Le grief de la défenderesse est ainsi mal fondé.</w:t>
      </w:r>
    </w:p>
    <w:p>
      <w:r>
        <w:rPr>
          <w:b/>
        </w:rPr>
        <w:t>E. 7</w:t>
      </w:r>
    </w:p>
    <w:p>
      <w:r>
        <w:t>Dans un deuxième grief, la défenderesse invoque l’exception de prescription des prétentions que la demanderesse pourrait avoir postérieurement à la suspension des indemnités journalières au 31 juillet 2013, à savoir les 244 indemnités journalières qu’elle fait valoir pour les années 2013, 2014 et 2015. a. Selon l’art. 46 LCA, les créances qui dérivent du contrat d’assurance se prescrivent par deux ans à dater du fait d’où naît l’obligation. La créance peut ainsi se prescrire avant d'être exigible (Stephan FUHRER, Schweizerisches Privatversicherungsrecht [cité ci-après: Privatversicherungsrecht], 2011, p. 394 ss nn. 15.7 ss). La LCA renvoie par ailleurs au Code des obligations pour toutes les questions qu'elle ne règle pas (art. 100 al. 1 LCA). Selon la jurisprudence, le moment déterminant - le fait d'où naît l'obligation - est celui où sont réunis tous les éléments constitutifs fondant le devoir de prestation de l'assureur. Il ne s'agit donc pas nécessairement de la survenance du sinistre, même s'il s'agit de la cause première de l'obligation d'indemniser, une prétention ne pouvant être atteinte par la prescription que si elle a déjà pris naissance. Il s'ensuit que la notion de "fait d'où naît l'obligation" varie selon les diverses catégories d'assurances et le type de prétention en cause. En outre, peu importe le moment où l'assuré en a eu connaissance, dès lors que le point de départ du délai de prescription est fixé de manière objective (ATF 139 III 418 consid. 3; arrêt 4A_228/2016 du 16 janvier 2017 consid 2.1). Pour déterminer le " fait d'où naît l'obligation ", soit le point de départ du délai de prescription, dans le cas concret, il faut donc analyser le contrat conclu par les parties pour en dégager tout d'abord le risque assuré, puis les éléments constitutifs qui doivent être réunis pour que l'assureur ait l'obligation d'indemniser l'assuré en raison de ce risque, sans égard aux déclarations et actes que doit faire la partie qui invoque une prétention (ATF 139 III 263 consid. 1.2 p. 265 s. et les références ; arrêt 4A_451/2015 du 26 février 2016 consid 4.1). Pour ce faire, il faut procéder à l'interprétation du contrat d'assurance, conformément aux principes développés par la jurisprudence. b. En l’espèce, le risque assuré est une incapacité de travail de 25% au moins donnant droit au versement d’indemnités journalières durant 730 jours, à l’issue d’un délai d’attente de 30 jours par année civile (cf. art.12 et 13 des CGA). Il résulte des pièces du dossier que la demanderesse a présenté une incapacité de travail dès le 10 septembre 2012, de 100 % puis de 50% du 21 mai 2013 au 10 juin 2013. La défenderesse a versé des indemnités journalières jusqu’au 31 juillet 2013. Des incapacités de travail ultérieures ont été annoncées par la demanderesse. La défenderesse a suspendu provisoirement les prestations le 14 juillet 2015 et, suite à des rapports de surveillance, le 14 août 2015, elle a « dissout le contrat avec effet au</w:t>
      </w:r>
    </w:p>
    <w:p>
      <w:r>
        <w:t>A/1880/2018 - 10/11 -</w:t>
      </w:r>
    </w:p>
    <w:p>
      <w:r>
        <w:rPr>
          <w:b/>
        </w:rPr>
        <w:t>E. 10</w:t>
      </w:r>
    </w:p>
    <w:p>
      <w:r>
        <w:t>septembre 2012 », invoquant une prétention frauduleuse, renonçant toutefois a réclamé la restitution des indemnités déjà versées. En définitive, compte tenu de 351 indemnités journalières versées par la défenderesse, la demanderesse entend faire valoir le paiement de 379 indemnités journalières pour des incapacités de travail postérieures au 31 juillet 2013. Or, les indemnités journalières réclamées aujourd’hui par la demanderesse pour les années 2013, 2014 et 2015 sont prescrites, faute d’acte interruptif de prescription valable. En effet, contrairement à ce que la demanderesse soutient, ni la demande de conciliation portée devant le Tribunal de première instance, ni celle déposée devant la Chambre de céans le 15 juillet 2016 ne contenaient de conclusions tendant au paiement des indemnités journalières ; la demanderesse concluait uniquement à la constatation de l’existence du contrat d’assurance. Partant, la demanderesse ne saurait se prévaloir de l’interruption de la prescription. La chambre de céans constate au surplus que la demanderesse ne s’était pas acquittée du paiement des primes d’avril à mai 2015 dans le délai de 14 jours imparti par la sommation du 15 juin 2015, de sorte que l’obligation de la défenderesse a été suspendue au 29 juin 2015, étant rappelé que le 14 août 2015, la défenderesse a déclaré le contrat d’assurance « dissout ». Il est par ailleurs établi que la demanderesse n’a pas fait usage de son droit de passer dans l’assurance individuelle. Or, l’art. 25 des CGA de la défenderesse prévoit qu’après extinction de la couverture d’assurance, l’obligation de verser des prestations s’éteint. Il a été déjà jugé qu’une telle clause conventionnelle est valable et ne constitue pas une clause insolite (ATF 4A_120/2008 du 19 mai 2008, consid. 2.2) ; coir aussi ATAS/1203/2011 et ATAS 1713/2012). Par conséquent, quoi qu’il en soit, la demanderesse ne peut faire valoir des prétentions au-delà du 29 juin 2015, voire du 14 août 2015 au plus tard, prétentions prescrites comme vu ci-dessus. 8. Au vu de ce qui précède, la demande doit être rejetée, dans la mesure où elle est recevable. Pour le surplus, il n'est pas alloué de dépens à la charge de la demanderesse (art. 22 al. 3 let. b de la loi d'application du code civil suisse et d’autres lois fédérales en matière civile du 11 octobre 2012 [LaCC - E 1 05]) ni perçu de frais judiciaires (art. 114 let. e CPC).</w:t>
      </w:r>
    </w:p>
    <w:p>
      <w:r>
        <w:t>A/1880/2018 - 11/11 -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