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ATAS/1126/2021 vom 8. November 2021</w:t>
      </w:r>
    </w:p>
    <w:p>
      <w:r>
        <w:t>GE Cour de justice, 2021-11-08, FR</w:t>
      </w:r>
    </w:p>
    <w:p>
      <w:r>
        <w:rPr>
          <w:b/>
        </w:rPr>
        <w:t xml:space="preserve">Quelle: </w:t>
      </w:r>
      <w:r>
        <w:t>https://mcp.opencaselaw.ch/entscheid/ge_gerichte_ATAS_1126_2021</w:t>
      </w:r>
    </w:p>
    <w:p>
      <w:r>
        <w:t>FR: GE_GERICHTE ATAS/1126/2021 du 8 novembre 2021</w:t>
      </w:r>
    </w:p>
    <w:p>
      <w:r>
        <w:t>IT: GE_GERICHTE ATAS/1126/2021 del 8 novembre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la forme et le délai prescrits le recours est recevable (art. 60 et 61 let. b LPGA, art. 43 LPCC).</w:t>
      </w:r>
    </w:p>
    <w:p>
      <w:r>
        <w:rPr>
          <w:b/>
        </w:rPr>
        <w:t>E. 3</w:t>
      </w:r>
    </w:p>
    <w:p>
      <w:r>
        <w:t>Le litige porte sur le calcul du droit du recourant aux prestations complémentaires dès le 1er novembre 2018, en particulier sur la question de la prise en compte du montant des allocations familiales dans son revenu déterminant, pour la période du 1er novembre 2018 au 30 juin 2020, l’intimé ayant proposé que dès le 1er juillet 2020 B______ soit exclu du calcul des prestations, ce qui n’a pas été contesté par le recourant.</w:t>
      </w:r>
    </w:p>
    <w:p>
      <w:r>
        <w:rPr>
          <w:b/>
        </w:rPr>
        <w:t>E. 4</w:t>
      </w:r>
    </w:p>
    <w:p>
      <w:r>
        <w:t>Sur le plan matériel, sont en principe applicables les règles de droit en vigueur au moment où les faits juridiquement déterminants se sont produits (ATF 129 V 1, consid. 1.2; ATF 127 V 466, consid. 1 et les références citées). En l'occurrence, vu que la période litigieuse débute le 21 avril 2020, c'est la LPC dans sa teneur en vigueur jusqu’au 31 décembre 2020 qui est applicable et qui sera citée ci-après.</w:t>
      </w:r>
    </w:p>
    <w:p>
      <w:r>
        <w:rPr>
          <w:b/>
        </w:rPr>
        <w:t>E. 5</w:t>
      </w:r>
    </w:p>
    <w:p>
      <w:r>
        <w:t>a.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Les revenus déterminants comprennent notamment les allocations familiales (art. 11 al. 1 let. f LPC) et les ressources et parts de fortune dont un ayant droit s'est dessaisi (art. 11 al. 1 let. g LPC).</w:t>
      </w:r>
    </w:p>
    <w:p>
      <w:r>
        <w:t>A/1751/2021 - 5/8 - b. Sur le plan cantonal, ont droit aux prestations complémentaires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c. La prise en compte de rentes, pensions et autres prestations périodiques suppose que l'assuré les ait effectivement reçues et qu'il puisse en disposer. Si tel n'est pas le cas, il faut encore examiner s'il n'y a pas un dessaisissement de revenus au sens de l'art. 11 al. 1 let. g LPC (Michel VALTERIO, op. cit., n 127 ad art. 11). On parle de dessaisissement au sens de l'art. 11 al. 1 let. g LPC lorsque l'assuré renonce à des éléments de revenu ou de fortune sans obligation juridique ni contre- prestation équivalente (ATF 123 V 35 consid. 1; ATF 121 V 204 consid. 4a).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Notamment, il y a lieu de retenir un dessaisissement lorsqu'il a, par ignorance, renoncé à faire valoir un droit alors que la réalisation d'un revenu correspondant aurait été objectivement possible (Arrêt P 63/04 du 2 février 2006, consid. 2.2.2; Michel VALTERIO, Commentaire de la loi fédérale sur les prestations complémentaires à l'AVS et à l'AI, 2015, n 123 ad art. 11). En matière de prestations d'entretiens, il peut y avoir dessaisissement lorsque la personne ne fait pas tous les efforts que l'on peut attendre d'elle pour faire valoir ou recouvrer des prestations d'entretien qui lui sont dues (Michel VALTERIO, op. cit., n 131 ad art. 11). Les prestations d'entretien dues mais non versées au titre des pensions alimentaires prévues par le droit de la famille sont entièrement prises en compte dans les revenus à moins qu'il ne soit dûment démontré qu'elles sont irrécouvrables. Elles peuvent être considérées comme telles lorsque toutes les possibilités légales dont on pouvait raisonnablement escompter que leur mise en œuvre pour obtenir satisfaction ont été épuisées, ce qui implique notamment que l'assuré introduise une action civile ou une procédure de poursuite (Michel VALTERIO, op. cit., n 156 ad art. 11). d. Selon la jurisprudence, les allocations familiales font également partie des sources de revenus qui doivent être épuisées avant l'octroi d'une prestation complémentaire. Cela signifie que si les allocations familiales sont supprimées, une prestation complémentaire doit être versée sur la base de l'art. 11 al. 1 let. g, en liaison avec l'art. 11 al. 1 let. h, LPC. Selon l'art. 11 al. 1 lit. f LPC, il faut tenir compte d'un revenu hypothétique à hauteur des allocations familiales auxquelles on</w:t>
      </w:r>
    </w:p>
    <w:p>
      <w:r>
        <w:t>A/1751/2021 - 6/8 - a renoncé. En particulier, un ayant droit aux allocations familiales est réputé avoir renoncé à un revenu s'il ne fait pas valoir son droit aux allocations familiales ou le fait tardivement, s'il renonce à une allocation familiale en cours, s'il se comporte à l'égard de l'institution versant les allocations familiales de telle sorte qu'il ne reçoit pas d'allocations familiales ou seulement des allocations familiales réduites à titre de sanction, par exemple à la suite d'une violation de l'obligation de collaborer selon l'art. 43, al. 3, LPGA, ou s'il ne se défend pas contre son employeur qui ne lui transmet pas les allocations familiales en violation de son obligation (Ralph JÖHL / Patricia USINGER-EGGER, Ergänzungsleistungen zur AHV/IV in Schweizerisches Bundesverwaltungsrecht [SBVR], Band XIV, Soziale Sicherheit, 3ème éd. 2016, n 198-199).</w:t>
      </w:r>
    </w:p>
    <w:p>
      <w:r>
        <w:rPr>
          <w:b/>
        </w:rPr>
        <w:t>E. 6</w:t>
      </w:r>
    </w:p>
    <w:p>
      <w:r>
        <w:t>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a. En l'espèce, l'intimé a tenu compte du montant des allocations familiales pour B______ en tant que revenu déterminant pour le recourant pour la période du 1er novembre 2018 au 30 juin 2020, ce qui doit être confirmé. En effet, le recourant étant l'ayant droit prioritaire des allocations, ce qui a été précisé par le SCAF, il était en droit de les percevoir. En juin 2017, l'ex-épouse du recourant a signalé au SCAF qu'elle était séparée de son mari et que ses enfants vivaient avec elle, conformément à ce qui était indiqué sur le registre de l'Office cantonal de la population et des migrations. Par la suite, le recourant n'a pas signalé au SCAF que son fils vivait avec lui depuis le 22 mars 2018 et n'a jamais requis les prestations qui lui étaient dues. Ce n'est qu'après avoir fait les démarches pour la demande d'octroi des prestations complémentaires auprès de l'intimé que le recourant a tenté de remédier à la situation en déposant une nouvelle demande d'allocations familiales auprès du SCAF. Cette démarche n'est pas suffisante au regard de la</w:t>
      </w:r>
    </w:p>
    <w:p>
      <w:r>
        <w:t>A/1751/2021 - 7/8 - jurisprudence précitée, pour admettre que le recourant a entrepris, en vain, tous les efforts que l'on pouvait attendre de lui pour faire valoir son droit aux allocations familiales, de sorte que le montant des allocations familiales doit être pris en compte au titre de revenu dessaisi. b. Il convient par ailleurs de suivre la proposition de l’intimé de supprimer la prise en compte de B______ dans le calcul des prestations à partir du 1er juillet 2020 - la rente complémentaire d’invalidité ayant été supprimée dès cette date -, proposition que le recourant n’a pas contestée et qui est conforme à l’art. 8 al. 1 de l’Ordonnance sur les prestations complémentaires à l’assurance- vieillesse, survivants et invalidité (OPC-AVS/AI).</w:t>
      </w:r>
    </w:p>
    <w:p>
      <w:r>
        <w:rPr>
          <w:b/>
        </w:rPr>
        <w:t>E. 8</w:t>
      </w:r>
    </w:p>
    <w:p>
      <w:r>
        <w:t>Partant, c'est à raison que l'intimé a tenu compte des allocations familiales de B______ dans le revenu déterminant du recourant lors du calcul de son droit aux prestations complémentaires du 1er novembre 2018 au 30 juin 2020.</w:t>
      </w:r>
    </w:p>
    <w:p>
      <w:r>
        <w:rPr>
          <w:b/>
        </w:rPr>
        <w:t>E. 9</w:t>
      </w:r>
    </w:p>
    <w:p>
      <w:r>
        <w:t>Enfin, dans son écriture du 13 octobre 2021, le recourant semble réclamer au SCAF le paiement rétroactif des allocations familiales qui lui sont dues. Cette demande sera en conséquence transmise au SCAF, comme objet de sa compétence.</w:t>
      </w:r>
    </w:p>
    <w:p>
      <w:r>
        <w:rPr>
          <w:b/>
        </w:rPr>
        <w:t>E. 10</w:t>
      </w:r>
    </w:p>
    <w:p>
      <w:r>
        <w:t>Le recours sera partiellement admis, la décision litigieuse confirmée pour la période du 1er novembre 2018 au 30 juin 2020 et annulée pour le surplus. La cause sera renvoyée à l’intimé pour nouvelle décision dès le 1er juillet 2020.</w:t>
      </w:r>
    </w:p>
    <w:p>
      <w:r>
        <w:rPr>
          <w:b/>
        </w:rPr>
        <w:t>E. 11</w:t>
      </w:r>
    </w:p>
    <w:p>
      <w:r>
        <w:t>Pour le surplus, la procédure est gratuite (art. 61 let. fbis a contrario LPGA).</w:t>
      </w:r>
    </w:p>
    <w:p>
      <w:r>
        <w:t>A/1751/2021 - 8/8 -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