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ATAS/1126/2017 vom 11. Dezember 2017</w:t>
      </w:r>
    </w:p>
    <w:p>
      <w:r>
        <w:t>GE Cour de justice, 2017-12-11, FR</w:t>
      </w:r>
    </w:p>
    <w:p>
      <w:r>
        <w:rPr>
          <w:b/>
        </w:rPr>
        <w:t xml:space="preserve">Quelle: </w:t>
      </w:r>
      <w:r>
        <w:t>https://mcp.opencaselaw.ch/entscheid/ge_gerichte_ATAS_1126_2017</w:t>
      </w:r>
    </w:p>
    <w:p>
      <w:r>
        <w:t>FR: GE_GERICHTE ATAS/1126/2017 du 11 décembre 2017</w:t>
      </w:r>
    </w:p>
    <w:p>
      <w:r>
        <w:t>IT: GE_GERICHTE ATAS/1126/2017 del 11 dicembre 2017</w:t>
      </w:r>
    </w:p>
    <w:p>
      <w:pPr>
        <w:pStyle w:val="Heading2"/>
      </w:pPr>
      <w:r>
        <w:t>Erwägungen</w:t>
      </w:r>
    </w:p>
    <w:p>
      <w:r>
        <w:rPr>
          <w:b/>
        </w:rPr>
        <w:t>E. 29</w:t>
      </w:r>
    </w:p>
    <w:p>
      <w:r>
        <w:t>Le 27 juin 2017, l’assuré a répliqué en relevant qu’il allait se soumettre à une intervention chirurgicale en juillet 2017, vu la complication de sa hernie discale C4/C5 et séjournerait à Montauban, France.</w:t>
      </w:r>
    </w:p>
    <w:p>
      <w:r>
        <w:rPr>
          <w:b/>
        </w:rPr>
        <w:t>E. 30</w:t>
      </w:r>
    </w:p>
    <w:p>
      <w:r>
        <w:t>Le 27 août 2017, l’assuré a observé que durant les mois qui avaient suivi l’accident du 14 octobre 2015, il avait ressenti de violentes douleurs à la tête, maux de tête, à la nuque, aux cervicales et au genou droit avec perte de force du bras droit, fourmillements dans les doigts et douleurs à l’épaule ; il avait été opéré le 17 juillet 2017 à la clinique d’Argonay par le Dr E______ ; on ne pouvait donc dire, comme le faisait la SUVA, que six mois après le 7 juin 2016, les effets délétères de l’accident avaient cessé ; lors du choc du 14 octobre 2015, il avait ressenti un coup du lapin entraînant des douleurs jusqu’à son opération ; suite à la chute, il avait consulté aux urgences et son genou droit avait été soigné en priorité, mais il n’était pas responsable du fait qu’un bilan complet n’avait, à ce moment-là, pas été effectué. Il demandait la couverture des soins et les indemnités journalières suite à l’accident du 14 octobre 2015.</w:t>
      </w:r>
    </w:p>
    <w:p>
      <w:r>
        <w:rPr>
          <w:b/>
        </w:rPr>
        <w:t>E. 31</w:t>
      </w:r>
    </w:p>
    <w:p>
      <w:r>
        <w:t>Le 29 septembre 2017, la SUVA a dupliqué en relevant que le recourant ne produisait aucun document à l’appui du fait qu’il avait, suite à son accident, consulté son médecin généraliste pour de violentes douleurs à la tête et à la nuque, manquant par-là à son devoir de collaboration ; il n’était donc pas établi que les troubles cervicaux postérieurs au 20 février 2017 soient en relation de causalité avec l’accident du 14 octobre 2015.</w:t>
      </w:r>
    </w:p>
    <w:p>
      <w:r>
        <w:rPr>
          <w:b/>
        </w:rPr>
        <w:t>E. 32</w:t>
      </w:r>
    </w:p>
    <w:p>
      <w:r>
        <w:t>Le 20 novembre 2017, la chambre de céans a entendu les parties en audience de comparution personnelle. Le recourant a déclaré : « J’ai été opéré par le Dr E______ à Argonay en juillet 2017 pour une hernie discale C4 – C5, il m’a posé une plaque et m’a mis trois mois</w:t>
      </w:r>
    </w:p>
    <w:p>
      <w:r>
        <w:t>A/1480/2017 - 7/17 - en arrêt de travail. J’ai donc repris le travail le 23 octobre 2017. Je garderai la plaque à vie. L’opération s’est bien déroulée et actuellement je n’ai plus ni douleurs ni limitations. Suite à l’accident de 2015 j’ai soigné en priorité mon genou car il s’agissait d’une priorité pour pouvoir retravailler, j’ai toujours eu des douleurs sur le côté droit de la tête. J’ai fait plusieurs investigations médicales dont une consultation ORL. La situation ne s’améliorait pas et suite au tour de manège j’ai ressenti d’importants maux de tête et des vertiges, lesquels se sont également produits pendant mon travail. J’ai alors passé une IRM qui a montré une importante hernie cervicale. Mon intervention en France a été finalement pris en charge par ma Mutuel, en revanche j’ai subi une perte de salaire qui n’a pas entièrement été compensée par l’assureur perte de gain maladie car celui-ci a couvert le 80 % de mon salaire de base de CHF 3'200.- alors que mon salaire global est d’environ CHF 4'200.-. L’assurance indemnité journalière ne porte que sur le salaire de base. Je demande à la SUVA la compensation de cette perte de gain. Selon les informations du Dr E______ ma hernie, très volumineuse, est très rare vu mon âge. Le Dr C______ a refusé de répondre aux demandes de renseignements de la SUVA en disant qu’il n’était pas rémunéré pour cela. Le Dr E______ a refusé de me faire une attestation établissant que ma hernie cervicale a été provoquée par l’accident de 2015, en estimant qu’il ne me suivait pas à cette période et qu’il n’était donc pas en mesure d’établir ce fait. En revanche, il m’a affirmé par oral qu’il s’agissait d’une hypothèse probable, vu l’état de la hernie et de mon jeune âge. J’ai du mal à comprendre la qualification de maladie de ma hernie cervicale car il n’y a pas de calcification visible, mes symptômes sont arrivés subitement et je n’avais jamais eu de problème avant. » Le représentant de l’intimée a déclaré ; « La SUVA confirme sa position. Il n’y a pas d’élément nouveau suite aux déclarations du recourant. Du point de vue médical la hernie discale n’est pas d’origine accidentelle. Par ailleurs, j’indique que l’enregistrement de la rechute n’a pas prétérité l’examen du dossier du recourant, les effets de l’accident de 2015 ayant été analysés. »</w:t>
      </w:r>
    </w:p>
    <w:p>
      <w:r>
        <w:rPr>
          <w:b/>
        </w:rPr>
        <w:t>E. 33</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A/1480/2017 - 8/17 -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60 al. 1 LPGA). Interjeté dans la forme et le délai prévus par la loi, le recours est recevable, en vertu des art. 56ss LPGA. 5. Le litige porte sur le droit du recourant à des prestations de l’intimée au-delà du 20 février 2017.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w:t>
      </w:r>
    </w:p>
    <w:p>
      <w:r>
        <w:t>A/1480/2017 - 9/17 -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w:t>
      </w:r>
    </w:p>
    <w:p>
      <w:r>
        <w:t>A/1480/2017 - 10/17 -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A/1480/2017 - 11/17 - 10.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11.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A/1480/2017 - 12/17 -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A/1480/2017 - 13/17 -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A/1480/2017 - 14/17 - 13.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w:t>
      </w:r>
    </w:p>
    <w:p>
      <w:r>
        <w:t>A/1480/2017 - 15/17 - entre l'accident et la manifestation de l'affection est long, plus les exigences quant à la preuve d'un rapport de causalité naturelle doivent être sévères (RAMA 1997 n° U 275 p. 191 consid. 1c ; cf. également arrêt du Tribunal fédéral 8C_102/2008 du 16 septembre 2008 consid. 2.2).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l’espèce, l’intimée considère que dès le 21 février 2017, les troubles du recourant ne sont plus en relation de causalité pour le moins probable avec l’accident du 14 octobre 2015. Le recourant conteste ce point de vue en faisant valoir que l’accident du 14 octobre 2015 a provoqué une hernie cervicale nécessitant d’être opérée en juillet 2017 et justifiant trois mois d’incapacité de travail. En l’occurrence, le Dr F______, dans son avis du 14 février 2017, a estimé que l’accident du 14 octobre 2015 n’avait que déstabilisé de façon temporaire l’état du rachis cervical, tout comme l’évènement du 7 août 2016, de sorte qu’au jour de son appréciation, le statu quo sine avait été retrouvé. Cet avis n’est contesté par aucun autre avis médical. En particulier, le recourant a expliqué que le médecin qui l’avait opéré, le Dr E______, avait considéré que la hernie cervicale avait pu être provoquée par l’accident du 14 octobre 2015 ; il ne s’agissait toutefois que d’une hypothèse et le Dr E______ avait refusé d’établir une attestation médicale allant dans ce sens. Par ailleurs, l’avis du Dr F______ va dans le sens de la jurisprudence précitée, laquelle relève que selon l’expérience médicale, pratiquement toutes les hernies discales proviennent d’une atteinte dégénérative et qu’une cause accidentelle n’est probable que si l’accident est d’importance et qu’il a entraîné un syndrome vertébral ou radiculaire immédiat, ce qui n’est pas le cas en l’espèce, le recourant ayant chuté dans des escaliers, sans perte de connaissance subséquente, accident ayant entraîné des douleurs dans l’hémicorps droit, ainsi qu’au genou du recourant, et une incapacité de travail de celui-ci limitée, soit du 16 au 21 octobre 2015. On se trouve ainsi dans la situation d’une aggravation, en raison d’un accident, d’un état dégénératif préexistant asymptomatique. Or, dans ce cas, la jurisprudence</w:t>
      </w:r>
    </w:p>
    <w:p>
      <w:r>
        <w:t>A/1480/2017 - 16/17 - retient que cette aggravation est considérée comme terminée au plus tard un an après l’accident. 16. Au vu de ce qui précède, force est de constater que l’avis du Dr F______, probant, ne peut qu’être suivi, de sorte que la décision de l’intimé de mettre un terme à ses prestations au 20 février 2017 n’est pas contestable. Partant, le recours ne peut qu’être rejeté. Pour le surplus, la procédure est gratuite.</w:t>
      </w:r>
    </w:p>
    <w:p>
      <w:r>
        <w:t>A/1480/2017 - 17/17 -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