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ATAS/1126/2013 vom 19. November 2013</w:t>
      </w:r>
    </w:p>
    <w:p>
      <w:r>
        <w:t>GE Cour de justice, 2013-11-19, FR</w:t>
      </w:r>
    </w:p>
    <w:p>
      <w:r>
        <w:rPr>
          <w:b/>
        </w:rPr>
        <w:t xml:space="preserve">Quelle: </w:t>
      </w:r>
      <w:r>
        <w:t>https://mcp.opencaselaw.ch/entscheid/ge_gerichte_ATAS_1126_2013</w:t>
      </w:r>
    </w:p>
    <w:p>
      <w:r>
        <w:t>FR: GE_GERICHTE ATAS/1126/2013 du 19 novembre 2013</w:t>
      </w:r>
    </w:p>
    <w:p>
      <w:r>
        <w:t>IT: GE_GERICHTE ATAS/1126/2013 del 19 novembre 2013</w:t>
      </w:r>
    </w:p>
    <w:p>
      <w:pPr>
        <w:pStyle w:val="Heading2"/>
      </w:pPr>
      <w:r>
        <w:t>Erwägungen</w:t>
      </w:r>
    </w:p>
    <w:p>
      <w:r>
        <w:rPr>
          <w:b/>
        </w:rPr>
        <w:t>E. 25</w:t>
      </w:r>
    </w:p>
    <w:p>
      <w:r>
        <w:t>Par courrier du 23 avril 2013, le Dr V__________, de l’unité de médecine et psychologie du trafic des HUG a informé l’assuré qu’en raison de ses affections médicales chroniques et d’évaluations qui avaient révélé un ralentissement extrêmement important, incompatible avec la conduite d’un véhicule à moteur, il n’était pas apte à poursuivre sa formation d’élève conducteur.</w:t>
      </w:r>
    </w:p>
    <w:p>
      <w:r>
        <w:rPr>
          <w:b/>
        </w:rPr>
        <w:t>E. 26</w:t>
      </w:r>
    </w:p>
    <w:p>
      <w:r>
        <w:t>Par décision du 29 avril 2013, l’Office cantonal des véhicules a retiré à l’assuré son permis d’élève conducteur, catégorie B, pour une durée indéterminée. Par décision du 29 avril 2013, l’OAI a confirmé son projet de décision du 30 juillet 2012.</w:t>
      </w:r>
    </w:p>
    <w:p>
      <w:r>
        <w:rPr>
          <w:b/>
        </w:rPr>
        <w:t>E. 27</w:t>
      </w:r>
    </w:p>
    <w:p>
      <w:r>
        <w:t>Par acte du 29 mai 2013, le recourant, agissant par l’entremise de son conseil, a saisi la Cour de céans d’un recours contre la décision du 29 avril 2013. Il soutient que son taux d’invalidité ne s’élève pas à 6% comme retenu par l’OAI, mais qu’il est bien plus important. Il en veut notamment pour preuve que les Drs S__________ et T__________ ont ajouté des points d’interrogation à leur évaluation de la capacité de travail à hauteur de 50% dans l’activité de nettoyeur et de 100% dans une activité adaptée. Le recourant fait également valoir qu’en raison de ses nombreux problèmes de santé qui vont s’aggravant, de ses somnolences</w:t>
      </w:r>
    </w:p>
    <w:p>
      <w:r>
        <w:t>A/1709/2013 - 7/17 - diurnes liées à ses apnées du sommeil, son rendement serait nécessairement très réduit dans une activité adaptée, contrairement à ce qu’affirme le Dr R__________ dans son rapport d’expertise du 23 mai 2012. Il ajoute avoir malgré tout le souhait de reprendre une activité adaptée à ses multiples limitations et de bénéficier pour cela de mesures de réadaptation professionnelles aux EPI, précisant qu’au mieux, son désir serait d’être formé comme éducateur social pour handicapés. À la lumière de ces éléments, le recourant conclut, sous suite de dépens, à l’annulation de la décision de l’OAI du 29 avril 2013, à l’octroi de prestations de l’assurance-invalidité, soit en particulier des mesures de reclassement ainsi qu’une rente entière.</w:t>
      </w:r>
    </w:p>
    <w:p>
      <w:r>
        <w:rPr>
          <w:b/>
        </w:rPr>
        <w:t>E. 28</w:t>
      </w:r>
    </w:p>
    <w:p>
      <w:r>
        <w:t>Par acte du 27 juin 2013, l’intimé soutient que le recourant n’apporte aucun élément probant susceptible de remettre en cause l’expertise du Dr R__________. Tout en faisant valoir qu’il est contradictoire de solliciter à la fois l’octroi d’une rente d’invalidité et un reclassement, il relève que le marché du travail équilibré offre un éventail suffisamment large d’activités légères dont un nombre significatif sont, à ses yeux, adaptées aux limitations du recourant et accessibles sans autre formation particulière. Il indique qu’au surplus, le degré d’invalidité de 6% est de toute manière insuffisant pour ouvrir le droit à une mesure de reclassement. Ainsi, l’intimé conclut au rejet du recours et à la confirmation de la décision attaquée.</w:t>
      </w:r>
    </w:p>
    <w:p>
      <w:r>
        <w:rPr>
          <w:b/>
        </w:rPr>
        <w:t>E. 29</w:t>
      </w:r>
    </w:p>
    <w:p>
      <w:r>
        <w:t>Par pli du 1er juillet 2013, le recourant a fait parvenir à la Cour de céans un courrier du 21 juin 2013 des Drs O__________ et W__________, respectivement cheffe de clinique et médecin interne au département de médecine communautaire des HUG, aux termes duquel ceux-ci déclarent qu’en raison de l’aggravation des nombreux problèmes de santé et de la découverte de nouveaux problèmes médicaux ces deux dernières années, une activité professionnelle, même adaptée, n’est pas exigible au- delà de 50%.</w:t>
      </w:r>
    </w:p>
    <w:p>
      <w:r>
        <w:rPr>
          <w:b/>
        </w:rPr>
        <w:t>E. 30</w:t>
      </w:r>
    </w:p>
    <w:p>
      <w:r>
        <w:t>Par acte du 10 juillet 2013, l’intimé considère que le rapport des Drs O__________ et W__________ n’apporte aucun élément médical nouveau susceptible de remettre en cause ses conclusions tendant au rejet du recours et à la confirmation de la décision attaquée.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A/1709/2013 - 8/17 - 2.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qui remontent à l’année 2011, le droit éventuel aux prestations doit être examiné au regard des dispositions de la LAI consécutives à la 5ème révision jusqu’au 31 décembre 2011, et après le 1er janvier 2012, en fonction des modifications relatives à la 6ème révision,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 invalidité du 22 juin 2005, FF 2005 p. 4322). 3. Interjeté dans la forme et le délai prévus par la loi, le recours est recevable (art. 56 et ss LPGA). 4. Le litige porte sur le droit du recourant à des mesures d’ordre professionnel et à une rente d’invalidité. 5. a)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b) Quand l'administration entre en matière sur une nouvelle demande (cf. art. 87 al. 4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(cf. ATF 133 V 108) pour déterminer si une modification notable du taux</w:t>
      </w:r>
    </w:p>
    <w:p>
      <w:r>
        <w:t>A/1709/2013 - 9/17 - d'invalidité justifiant la révision du droit en question est intervenue (ATF non publié 9C_412/2010 du 22 février 2011. 6.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7.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 8. Selon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Est réputé invalide, au sens de l'art. 17 LAI, celui dont la diminution de la capacité de gain atteint un certain seuil, un taux d’environ 20 % étant jugé suffisant par la jurisprudence (ATF 124 V 110 consid. 2b ; ATFA non publié I 424/00 du 6 octobre 2000, consid. 4a). Par reclassement, la jurisprudence entend l’ensemble des mesures de réadaptation de nature professionnelle qui sont nécessaires et suffisantes pour procurer à l’assuré une possibilité de gain à peu près équivalente à celle que lui offrait son ancienne</w:t>
      </w:r>
    </w:p>
    <w:p>
      <w:r>
        <w:t>A/1709/2013 - 10/17 - activité. La notion d'équivalence approximative entre l'activité antérieure et l'activité envisagée ne se réfère pas en premier lieu au niveau de formation en tant que tel, mais aux perspectives de gain après la réadaptation (ATF non publié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 Cela étant, si en l’absence d’une nécessité dictée par l’invalidité, une personne assurée opte pour une formation qui va au-delà du seuil d’équivalence, l’assurance- invalidité peut octroyer des contributions correspondant au droit à des prestations pour une mesure de reclassement équivalente (substitution de la prestation ; VSI 2002 p. 109 consid. 2b et les références). 9. À teneur de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(ATF non publié 9C_882/2008 du 29 octobre 2009, consid. 5.1 et les références).</w:t>
      </w:r>
    </w:p>
    <w:p>
      <w:r>
        <w:t>A/1709/2013 - 11/17 - La même circulaire précise que l’orientation professionnelle incombe à l’office AI. Celui-ci peut ordonner, à côté des méthodes et mesures habituelles d’orientation professionnelle, dont les stages pratiques, un examen plus étendu dans des centres spécialisés de formation professionnelle ou de réadaptation, sur le marché libre ou dans des centres d’observation professionnelle (COPAI). Cet examen sera effectué d’après un programme spécifiquement établi ou standardisé précisant clairement l’objectif (chiffre 2003). 10.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 Il convient de rappeler que la réadaptation prime le droit à la rente (art. 7 al. 1 LPGA). 11.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A/1709/2013 - 12/17 -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12.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w:t>
      </w:r>
    </w:p>
    <w:p>
      <w:r>
        <w:t>A/1709/2013 - 13/17 -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13. En l'espèce, il convient de comparer la situation au moment de la décision du 21 décembre 2001 – qui est la dernière décision entrée en force reposant sur un examen matériel du droit – avec celle prévalant au moment de la décision querellée afin d'apprécier le bien-fondé d'une éventuelle révision opérée en application de l'art. 17 LPGA. La décision 21 décembre 2001 se fondait sur le rapport du 16 mai 2000 de la Dresse L__________ et l’avis du 30 mai 2001 du Dr M__________, médecin-conseil de l’OAI, qui avait considéré que toute activité physiquement légère ou modérée pouvait convenir à 100%. En date du 16 mars 2011, l'assuré a déposé une nouvelle demande de prestations auprès de l'OAI en produisant un certificat du 25 janvier 2011 des Drs N__________ et O__________ indiquant que depuis le dernier certificat établi en 2007, l’hypertension artérielle et le diabète restaient difficiles à contrôler de façon optimale, étant précisé qu’il existait, depuis 2007 selon eux, une aggravation de l’atteinte rénale. Après avoir décidé d'entrer en matière, l'intimé a mis en œuvre une expertise qu'il a confiée au Dr R__________. Fondée sur l'ensemble du dossier, retraçant une anamnèse fouillée et tenant compte des plaintes du recourant, cette</w:t>
      </w:r>
    </w:p>
    <w:p>
      <w:r>
        <w:t>A/1709/2013 - 14/17 - expertise comporte un status détaillé et nuancé ainsi que des conclusions convaincantes s'agissant d'une capacité de travail exigible à plein temps dès mai 2011, sans perte de rendement dans des activités légères et non soutenues, sédentaires ou semi-sédentaires. L'expertise doit ainsi se voir reconnaître pleine valeur probante. Elle comporte des indications précises sur les modifications de l'état de santé, en particulier l’aggravation progressive de l’insuffisance rénale connue depuis 2000. Il ressort toutefois de l'appréciation de l'incapacité de travail du recourant par l’expert que les modifications de l’état de santé n'ont pas eu d'influence sur la capacité de gain du recourant entre la décision initiale du 21 décembre 2001 et la décision attaquée, puisque cette appréciation fait état d'un taux d'activité exigible de 100% dans une activité légère, à l’image de la situation qui prévalait lors de la décision initiale. Le recourant soutient en substance que les conclusions du Dr R__________ ne sauraient être suivies. Il invoque comme argument principal que les Drs S__________ et T__________ ont ajouté des points d’interrogation à leur évaluation de la capacité de travail à hauteur de 50% dans l’activité de nettoyeur et de 100% dans une activité adaptée. Le recourant fait également valoir qu’en raison de ses nombreux problèmes de santé qui vont s’aggravant, de ses somnolences diurnes liées à ses apnées du sommeil, son rendement serait nécessairement très réduit dans une activité adaptée, contrairement à ce qu’affirme le Dr R__________. Enfin, il se fonde également sur le rapport du 21 juin 2013 des Drs O__________ et W__________. Même si les Drs S__________ et T__________ ne sont pas « affirmatifs », mais « interrogatifs » s’agissant des capacités de travail à 50%, respectivement 100%, ils ne motivent d’aucune manière les doutes ainsi exprimés et s’abstiennent de substituer les taux d’incapacité retenus par une appréciation qui leur serait propre. Quant aux apnées du sommeil, il ressort effectivement des pièces versées à la procédure que les somnolences diurnes qu’elles induisent ne sont pas compatibles avec les exigences de sécurité du trafic automobile. Cela étant, les conclusions du Dr V__________ se rapportent exclusivement à la conduite d’un véhicule automobile et non à la capacité de travail exigible dans une activité adaptée. Partant, elles remettent d’autant moins en question les conclusions de l’expert que celui-ci a pris en compte la problématique évoquée par le Dr V__________ en ces termes : « Spontanément, [le recourant] ne fait pas état d’asthénie ou de somnolence diurne mais l’anamnèse systématique trouve un score d’Epworth élevé faisant suggérer, dans le contexte, un possible syndrome d’apnées du sommeil » avec tendance à la somnolence diurne « anormale » (cf. pp. 9 et 16 rapport d’expertise). S’agissant enfin du rapport des Drs O__________ et W__________, il comporte une appréciation différente de la capacité de travail exigible du recourant, fondée sur l’aggravation des nombreux problèmes de santé et de la découverte de</w:t>
      </w:r>
    </w:p>
    <w:p>
      <w:r>
        <w:t>A/1709/2013 - 15/17 - nouveaux problèmes médicaux ces deux dernières années. Cela étant, ces médecins ne font pas état d’affections qui auraient été ignorées par le Dr R__________ dans le cadre de son expertise, de sorte que l’appréciation des Drs O__________ et W__________, effectuée dans le cadre d’un mandat thérapeutique et peu motivée de surcroît, ne saurait remettre en cause les conclusions de l’expert. La Cour de céans retiendra dès lors une capacité de travail de 100% dans une activité adaptée. 14. S’agissant du degré d’invalidité, le calcul de l’intimé, sur la base d’un revenu sans invalidité de 59'359 fr. et d’un revenu d’invalide de 55'560 fr., est conforme aux principes dégagés par la jurisprudence et ne prête donc pas le flanc à la critique. Au montant statistique à titre de revenu avec invalidité, il convient encore, conformément à la jurisprudence, d’appliquer un facteur de réduction. En l’espèce, l’intimé a retenu un abattement de 10% sur le salaire statistique compte tenu des limitations fonctionnelles du recourant. Bien que l’on puisse légitiment se poser la question dans quelle mesure un abattement supérieur ne devrait pas être retenu, compte tenu du permis F et de la nationalité congolaise de l’intéressé, il n’en demeure pas moins que le recourant, âgé de moins de 50 ans et maîtrisant bien la langue française, ne saurait prétendre à l’abattement maximal de 25% et que même dans l’hypothèse d’un abattement plus important de 20%, le degré d’invalidité resterait trop faible pour pouvoir prétendre à un reclassement dans une autre profession : 59'359 – 49'386 x 100 / 59'359 = 16,8%. Ainsi, le recourant n’a droit ni à une rente, ni à un reclassement, vu son degré d’invalidité inférieur à 20%. Dans ces conditions, la Cour de céans se dispensera d’examiner si les autres conditions pour pouvoir bénéficier d’un reclassement sont réunies. 15. Reste à déterminer si le recourant a droit à une orientation professionnelle. En laissant de côté les emplois non qualifiés dans le domaine de l’horlogerie, il ne ressort pas du dossier que le recourant rencontrerait de réels empêchements pour retrouver une activité lucrative adaptée à son état de santé. De manière plus générale, dans la mesure où le marché du travail offre un éventail suffisamment large d'activités légères, dont un nombre significatif sont, à l'évidence, adaptées aux limitations du recourant et accessibles sans aucune formation particulière, il n'existe guère d'obstacles pour l'intimé à l'exercice d'un emploi adapté à ses problèmes de santé (pour un cas similaire, voir ATF non publié 9C_534/2010 du 10 février 2011). Dans ces conditions, l'octroi d'une mesure d'orientation professionnelle financée par l'assurance-invalidité apparaît superflu. 16. Il s'avère ainsi que malgré une aggravation de l'état de santé depuis la décision initiale, la capacité de travail exigible dans une activité adaptée est restée identique. Il s'ensuit qu'il n'y a pas eu de modification importante du degré d'invalidité au sens de l'art. 17 al. 1 LPGA, applicable par analogie, et que partant, les conditions d'une révision au sens de cette disposition légale ne sont pas remplies.</w:t>
      </w:r>
    </w:p>
    <w:p>
      <w:r>
        <w:t>A/1709/2013 - 16/17 - Aussi le recours doit-il être rejeté. 17. Bien que la procédure ne soit pas gratuite en matière d'assurance-invalidité (art. 69 al. 1bis LAI), il convient de renoncer à la perception d'un émolument, l'assuré étant au bénéfice de l'assistance juridique (art. 12 al. 1 du règlement sur les frais, émoluments et indemnités en procédure administrative du 30 juillet 1986; RS E 510. 03).</w:t>
      </w:r>
    </w:p>
    <w:p>
      <w:r>
        <w:t>A/1709/2013 - 17/17 -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