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ATAS/1126/2012 vom 18. September 2012</w:t>
      </w:r>
    </w:p>
    <w:p>
      <w:r>
        <w:t>GE Cour de justice, 2012-09-18, FR</w:t>
      </w:r>
    </w:p>
    <w:p>
      <w:r>
        <w:rPr>
          <w:b/>
        </w:rPr>
        <w:t xml:space="preserve">Quelle: </w:t>
      </w:r>
      <w:r>
        <w:t>https://mcp.opencaselaw.ch/entscheid/ge_gerichte_ATAS_1126_2012</w:t>
      </w:r>
    </w:p>
    <w:p>
      <w:r>
        <w:t>FR: GE_GERICHTE ATAS/1126/2012 du 18 septembre 2012</w:t>
      </w:r>
    </w:p>
    <w:p>
      <w:r>
        <w:t>IT: GE_GERICHTE ATAS/1126/2012 del 18 settembre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w:t>
      </w:r>
    </w:p>
    <w:p>
      <w:r>
        <w:t>A/1272/2012 - 10/20 -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l'état de fait déterminant du 15 mars 2012 est postérieur à l'entrée en vigueur de la LPGA, le 1er janvier 2003, ainsi qu’à l’entrée en vigueur, le 1er janvier 2004, des modifications de la LAI du 21 mars 2003 (4ème révision), le 1er janvier 2008, des modifications de la LAI du 6 octobre 2006 (5ème révision), et le 1er janvier 2012, des modifications de la LAI du 18 mars 2011 (révision 6a). Par conséquent, du point de vue matériel, le droit éventuel à des prestations d'invalidité doit être examiné au regard de l'ancien droit jusqu'au 31 décembre 2011, et, après le 1er janvier 2012, en fonction des modifications de la LAI, dans la mesure de leur pertinence (ATF 130 V 445 et les références; voir également ATF 130 V 329).</w:t>
      </w:r>
    </w:p>
    <w:p>
      <w:r>
        <w:rPr>
          <w:b/>
        </w:rPr>
        <w:t>E. 3</w:t>
      </w:r>
    </w:p>
    <w:p>
      <w:r>
        <w:t>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RS E 5 10). Lorsque le dernier jour du délai tombe un samedi, un dimanche ou sur un jour légalement férié, le délai expire le premier jour utile. Les délais en jours ou en mois fixés par la loi ou par l'autorité ne courent pas du 7e jour avant Pâques au 7e jour après Pâques inclusivement (art. 38 al. 4 LPGA et art. 89C LPA). En l'espèce, il est avéré que la décision litigieuse a été notifiée au recourant, par pli recommandé, le 15 mars 2012 selon l'extrait Track &amp; Trace de la Poste attestant d'une distribution via la case postale au 1227 Carouge. La copie de la décision litigieuse produite par le recourant en pièce 29 porte d'ailleurs un tampon mentionnant "reçu le 15 mars 2012". L'indication du recourant selon laquelle la décision litigieuse a été notifiée le 16 mars 2012 est donc erronée. Cela ne porte toutefois pas à conséquence dans la mesure où le délai a commencé à courir le 16</w:t>
      </w:r>
    </w:p>
    <w:p>
      <w:r>
        <w:t>A/1272/2012 - 11/20 - mars 2012, a cessé de courir du 1er au 15 avril 2012 inclus (le dimanche de Pâques étant tombé le 8 avril 2012) et a expiré le 29 avril 2012, qui s'avère être un dimanche et reporte donc l'expiration du délai au 30 avril 2012. Déposé à cette même date dans la forme prescrite par la loi, le recours est donc recevable.</w:t>
      </w:r>
    </w:p>
    <w:p>
      <w:r>
        <w:rPr>
          <w:b/>
        </w:rPr>
        <w:t>E. 4</w:t>
      </w:r>
    </w:p>
    <w:p>
      <w:r>
        <w:t>Le litige porte sur la question de savoir si l'état de santé du recourant s'est aggravé dans une mesure justifiant un droit aux prestations de l'assurance-invalidité.</w:t>
      </w:r>
    </w:p>
    <w:p>
      <w:r>
        <w:rPr>
          <w:b/>
        </w:rPr>
        <w:t>E. 5</w:t>
      </w:r>
    </w:p>
    <w:p>
      <w:r>
        <w:t>Lorsque qu'une rente a été refusée parce que le degré d'invalidité était insuffisant, la nouvelle demande ne peut être examinée que si l'assuré rend plausible que son invalidité s'est modifiée de manière à influencer ses droits (art. 87 al. 3 et 4 du règlement sur l'assurance-invalidité du 17 janvier 1961 - RAI ; RS 831.201 ; ATF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412 consid. 2b; ATF 117 V 200 consid. 4b et les références). Ainsi,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Aussi,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Quand, au contraire, elle entre en matière sur une nouvelle demande, elle doit procéder de la même manière qu'en cas de révision au sens de l'art. 17 LPGA et comparer les circonstances existant au moment de la nouvelle décision avec celles prévalant lors de la dernière décision entrée en force reposant sur un examen matériel du droit à la rente pour déterminer si une modification notable du taux d'invalidité justifiant la révision du droit en question est intervenue (ATF 133 V 108). Tout changement important des circonstances propre à influencer le degré d’invalidité, et donc le droit à la rente, peut motiver une révision selon l’art. 17 LPGA. La rente peut être révisée non seulement en cas de modification</w:t>
      </w:r>
    </w:p>
    <w:p>
      <w:r>
        <w:t>A/1272/2012 - 12/20 -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ATF 109 V 114 consid. 2a et b). Le Tribunal fédéral a confirmé qu'une administration ne saurait limiter son examen à la question de savoir si un changement important susceptible d'influencer le degré d'invalidité s'est produit, lorsqu'elle entre en matière sur une nouvelle demande au sens de l'art. 87 al. 3 et 4 RAI. En effet, dès lors que l'office AI se saisit du fond d'une nouvelle demande, il doit en instruire tous les aspects (médicaux et juridiques, notamment) et déterminer si la modification de l'invalidité s'était effectivement produite (ATF 117 V 198 consid. 4b p. 200 ; ULRICH MEYER, Bundesgesetz über die Invalidenversicherung, 2e éd., p. 399), comme s'il se prononçait pour la première fois sur le droit aux prestations. Ainsi, lorsqu'un assuré qui se trouve proche de l'âge de la retraite présente une nouvelle demande et que l'administration décide d'entrer en matière sur celle-ci, les principes jurisprudentiels concernant ce genre de situations (cf. arrêts 9C_444/2010 du 20 décembre 2010 consid. 2.3, 9C_437/2008 du 19 mars 2009 consid. 4.2 in SVR 2009 IV n° 35 p. 98) s'appliquent sans restriction.</w:t>
      </w:r>
    </w:p>
    <w:p>
      <w:r>
        <w:t>A/1272/2012 - 13/20 -</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w:t>
      </w:r>
    </w:p>
    <w:p>
      <w:r>
        <w:t>A/1272/2012 - 14/20 -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 RJJ 1995, p. 44 ; RCC 1988 p. 504 consid. 2).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w:t>
      </w:r>
    </w:p>
    <w:p>
      <w:r>
        <w:t>A/1272/2012 - 15/20 -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Enfin, le Tribunal fédéral a jugé qu'on pouvait exiger d'un assuré âgé de 58 ans au moment de la décision litigieuse qu'il mette en valeur sa capacité de travail de 100% dans une activité adaptée à son état, dans la mesure où il n'avait pas encore atteint l'âge à partir duquel la jurisprudence considère généralement qu'il n'existe plus de possibilité réaliste d'une telle mise en valeur sur un marché du travail supposé équilibré, ce d'autant plus lorsque l'instruction menée par l'office AI a permis d'établir l'existence d'un certain nombre d'activités qui demeurent accessibles sans formation particulière (ATF non publié 9C_1043/2008 du 2 juillet 2009, consid. 3.3).</w:t>
      </w:r>
    </w:p>
    <w:p>
      <w:r>
        <w:rPr>
          <w:b/>
        </w:rPr>
        <w:t>E. 10</w:t>
      </w:r>
    </w:p>
    <w:p>
      <w:r>
        <w:t>En l'espèce, le recourant considère que ses médecins traitants, à savoir les Drs P___________ et Q___________, ont tous deux invoqué la péjoration de son état de santé et le fait qu'il ne peut plus effectuer aucune activité physique lourde ou exigeant de la manutention, malgré sa motivation. Les rapports médicaux produits reflètent d'ailleurs selon lui son incapacité totale de travail, même dans une activité adaptée, en raison de ses atteintes à la santé, à savoir des lombalgies chroniques sur troubles dégénératifs du rachis lombaire, une gonarthrose fémoro-tibiale interne droite symptomatique, des cervicalgies chroniques sur discrets troubles dégénératifs C5-C6 et une obésité morbide. L'intimé estime au contraire que les rapports des Dr. P___________ et Q___________ ne comprennent aucun élément objectivant une aggravation de l'état de santé du recourant. Il s'agit dès lors de déterminer si le recourant présente une aggravation de son état de santé susceptible d'influencer durablement sa capacité de travail. Étant donné</w:t>
      </w:r>
    </w:p>
    <w:p>
      <w:r>
        <w:t>A/1272/2012 - 16/20 - que la présente cause s'inscrit dans le cadre d'une nouvelle demande au sens de l'art. 87 al. 3 et 4 RAI, il convient de comparer les faits tels qu'ils prévalaient le 17 juin 2008, date de la dernière décision rendue par l'OAI reposant sur un examen matériel du droit à la rente et entrée en force - la décision postérieure du 12 mars 2009 étant une décision de refus d'entrer en matière. La décision du 17 juin 2008 est fondée sur le rapport de l'examen rhumato- psychiatrique de 7 avril 2008 effectué au SMR. Ce rapport doit se voir reconnaître une pleine valeur probante. Les médecins qui l'ont rédigé ont en effet pris en compte le dossier médical du recourant et les rapports médicaux y relatifs, les antécédents personnels généraux du recourant, son anamnèse familiale, professionnelle, par système, psychosociale et psychiatrique actuelle, les plaintes et données subjectives du recourant, et l'examen clinique de ce dernier. Le diagnostic a été posé clairement, l'appréciation médicale du cas et les conclusions y relatives sont détaillées et motivées. S'agissant de l'aggravation alléguée, en ce qui concerne le Dr. P___________, point n'est besoin de comparer son dernier rapport avec des documents plus anciens. En effet, l'examen du rapport du 1er septembre 2011 établi par ce dernier permet d'ores et déjà d'exclure une telle aggravation, le médecin ayant indiqué dans ce document qu'"une nouvelle IRM lombaire effectuée en 2011 se [révélait] superposable à celle de 2005, sans nouvelle lésion", qu' "[e]ffectivement, l'état médical concernant les lombalgies et lombosciatique D ne [s'était] pas aggravé depuis ces dernières années", et que le recourant "[restait] toujours aussi algique et symptomatique à l'effort". Le médecin a toutefois relevé qu'un nouveau diagnostic, celui de syndrome d'apnée du sommeil sévère, avait été posé par le Dr. V_________. Ce dernier ne s'est cependant nullement prononcé sur la capacité de travail du recourant en lien avec ce diagnostic. Qui plus est, le recourant lui-même ne se prévaut pas, à l'appui de son recours, de ce syndrome comme étant un élément participant à son incapacité de travail. Partant, il ne peut en tirer aucun argument. Le 7 avril 2008 le SMR avait considéré, d'une part, qu'il ne pouvait pas confirmer cliniquement la présence d'une gonarthrose, et d'autre part, que les rotations cervicales étaient douloureuses, davantage vers la gauche, sans arrêt dur parlant pour une cervicarthrose avancée. Le Dr. Q___________ avait déjà mis en évidence, dans son rapport du 3 mai 2005, que des cervicalgies et des gonalgies internes bilatérales à caractère mécanique prédominant (pouvant correspondre, dans un contexte d'obésité sévère, à une gonarthrose interne débutante) s'étaient ajoutées aux lombalgies chroniques et aux troubles statiques et dégénératifs débutants. La mobilité lombaire était diminuée par les douleurs (Schober 10-14 cm). Au niveau cervical, les épineuses étaient très sensibles de C4 à D2, avec des douleurs à la palpation de la musculature paravertébrale et des deux trapèzes, la distance menton-</w:t>
      </w:r>
    </w:p>
    <w:p>
      <w:r>
        <w:t>A/1272/2012 - 17/20 - sternum étant à 2-18 cm et les rotations limitées à 60° des deux côtés. Des douleurs importantes apparaissaient à la palpation des deux compartiments internes des genoux. Quelques années plus tard, le 8 février 2012, le Dr Q___________ pose les diagnostics de lombalgies chroniques sur troubles dégénératifs du rachis lombaire, de gonarthrose fémoro-tibiale interne droite symptomatique et de cervicalgies chroniques sur discrets troubles dégénératifs C5-C6. Il indique qu'au niveau des genoux, des douleurs apparaissent à la pression de l'interligne fémoro-tibial interne prédominant à droite. Des douleurs paracervicales C5-C6-C7 prédominant à droite sont également constatées. Ainsi, les diagnostics étaient similaires en 2005 et 2012. C'est également le cas des autres points, la mobilité lombaire étant identique (Schober 10-14 cm), les mobilités cervicales (rotation droit et gauche limitée à 60°), et la distance menton-sternum aussi, le recourant ayant gagné 2 centimètres en flexion et perdu 2 centimètres en extension (0-16), tout en restant dans les valeurs normales. Malgré l'aggravation globale depuis six ans évoquée par ce médecin, la comparaison du contenu des deux rapports ne permet de relever aucune aggravation patente de l'état de santé du recourant, ce qui a d'ailleurs été souligné par le SMR dans son avis du 22 mai 2012. A titre superfétatoire et malgré l'absence d'aggravation de l'état de santé, on examinera la capacité de travail du recourant dans une activité adaptée. Le SMR a conclu le 7 avril 2008 que le recourant disposait d'une pleine capacité de travail dans une activité physiquement légère et respectant les limitations fonctionnelles suivantes: pas de mouvement répété de flexion-extension du rachis, pas de port de charge au-delà de dix kilos, pas d'attitude en porte-à-faux du tronc, pas de position statique debout prolongé au-delà de 30 minutes, assise au-delà d'une heure, se fondant, à défaut d'aggravation de l'état de santé, sur les conclusions des mesures de reclassement professionnel d'avril 2003. L'assuré restait donc apte à exercer des travaux simples de mécanique demandant peu de réglages machines (par exemple usinage sur tour réglé, montage d'éléments de petits dimensions) et où une chaise "assis/debout" serait à sa disposition afin de lui permettre de s'asseoir environ une fois par heure pour une période de dix minutes. Il s'avère au demeurant que cette pleine capacité de travail dans une activité adaptée s'est confirmée lors du stage aux EPI d'août à novembre 2008. Les Drs. P___________ et V_________ quant à eux n'ont pas quantifié la capacité de travail du recourant dans leurs rapports respectifs des 1er septembre et 6 juin 2011. Ces documents ne permettent donc pas de remettre en cause les conclusions susmentionnées du SMR sur ce point. Le Dr.. Q___________ considère quant à lui qu'il n'y a plus d'exigibilité dans une activité physique lourde ou exigeant de la manutention, ce qui est admis par le</w:t>
      </w:r>
    </w:p>
    <w:p>
      <w:r>
        <w:t>A/1272/2012 - 18/20 - SMR. Les médecins ont en effet relevé à cette occasion que les troubles statiques et dégénératifs présentés à cette époque par le recourant pouvaient expliquer les difficultés dans une activité physiquement contraignante. Ils ont même considéré que le Dr. M___________, qui avait expertisé ce dernier en 2002, avait été sévère en retenant une exigibilité de 75% dans l'activité habituelle, au vu de ses nombreuses limitations fonctionnelles. De ce fait, la capacité de travail était nulle dans l'activité habituelle, respectivement dans toute activité physiquement contraignante. Par ailleurs, en ce qui concerne la capacité de travail du recourant dans une activité adaptée à ses limitations fonctionnelles, force est de constater que le Dr. Q___________ ne remet pas non plus en question, contrairement à ce que prétend le recourant, les conclusions des médecins du SMR du 7 avril 2008. En effet, il ne fait que mettre un bémol sur ce point en ce sens qu'il considère qu'une réorientation dans une telle activité serait "problématique" en raison du manque de formation du recourant et de son âge. Or, les aspects humains invoqués par le Dr. Q___________ ne sont pas susceptibles de modifier les conclusions quant à la capacité de travail du recourant. En effet, selon la jurisprudence, l'assurance-invalidité n'a pas à répondre des difficultés de ce dernier pour trouver un emploi approprié liées à son âge ou à son manque de formation professionnelle. S'il est vrai que de tels facteurs - étrangers à l'invalidité -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(ATFA non publié I 1082/06 du 24 septembre 2007, consid. 2 et les références; ATFA non publié I 377/98 du 28 juillet 1999, consid. 1 et les références in VSI 1999 p. 246; ATF 107 V 17 consid. 2c). Ainsi, des critères tels que l'âge ou la formation n'ont pas à être pris en considération dans le cadre de la détermination de la capacité de travail d'un assuré. S'agissant de l'âge du recourant, il était âgé de 52 ans lors de la décision, ce qui n'exclut pas la reprise d'une activité adaptée selon le Tribunal fédéral et qu'il a déjà bénéficié de deux stages, en 2003 et en 2008, lui permettant de se familiariser avec d'autres domaines d'activité. Au vu de ce qui précède, la Cour de céans considère que les rapports médicaux produits ne permettent pas de conclure à une aggravation de l'état de santé susceptible d'influencer durablement la capacité de travail du recourant. Celui-ci n'invoquant aucune autre modification des circonstances susceptible d'influencer le taux d'invalidité, c'est à juste titre que l'OAI a refusé toute prestations par décision du 12 mars 2012, la demande de révision étant mal fondée.</w:t>
      </w:r>
    </w:p>
    <w:p>
      <w:r>
        <w:t>A/1272/2012 - 19/20 - A noter encore que les allégués du recourant et les avis de ses médecins traitants laissent croire qu'ils sont d'avis que l'état de santé de l'assuré ne lui permet plus depuis fort longtemps de travailler à plein temps, voire à 70% comme retenu lors du stage de 2003, dans une activité adaptée, et que, partant, les décisions de refus de 2004 et de 2008 étaient mal fondées. A défaut de recours contre celles-ci, elles sont entrées en force et c'est donc seulement sous l'angle de la modification notable de l'invalidité, en particulier en raison d'une aggravation de l'état de santé, que la Cour de céans peut examiner le cas.</w:t>
      </w:r>
    </w:p>
    <w:p>
      <w:r>
        <w:rPr>
          <w:b/>
        </w:rPr>
        <w:t>E. 11</w:t>
      </w:r>
    </w:p>
    <w:p>
      <w:r>
        <w:t>Le recours, mal fondé, est rejeté. Un émolument de 200 fr. sera mis à la charge du recourant qui succombe.</w:t>
      </w:r>
    </w:p>
    <w:p>
      <w:r>
        <w:t>A/1272/2012 - 20/20 -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