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ATAS/1126/2009 vom 29. Juli 2008</w:t>
      </w:r>
    </w:p>
    <w:p>
      <w:r>
        <w:t>GE Cour de justice, 2008-07-29, FR</w:t>
      </w:r>
    </w:p>
    <w:p>
      <w:r>
        <w:rPr>
          <w:b/>
        </w:rPr>
        <w:t xml:space="preserve">Quelle: </w:t>
      </w:r>
      <w:r>
        <w:t>https://mcp.opencaselaw.ch/entscheid/ge_gerichte_ATAS_1126_2009</w:t>
      </w:r>
    </w:p>
    <w:p>
      <w:r>
        <w:t>FR: GE_GERICHTE ATAS/1126/2009 du 29 juillet 2008</w:t>
      </w:r>
    </w:p>
    <w:p>
      <w:r>
        <w:t>IT: GE_GERICHTE ATAS/1126/2009 del 29 luglio 2008</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A/3434/2008 4/5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27 mars 1998, d’autre part le 16 septembre 2008, date à laquelle le jugement de divorce est devenu exécutoire.</w:t>
      </w:r>
    </w:p>
    <w:p>
      <w:r>
        <w:rPr>
          <w:b/>
        </w:rPr>
        <w:t>E. 4</w:t>
      </w:r>
    </w:p>
    <w:p>
      <w:r>
        <w:t>Selon les documents produits, la prestation acquise pendant le mariage par le demandeur est de 145'663 fr. (191'307 fr. – 45'644 fr.), tandis que celle acquise par la demanderesse est de 43'337 fr. 80, les intérêts ayant déjà été calculés par les institutions de prévoyance défenderesses. Il y a lieu de préciser que les 3'886 fr. accumulés auprès de GASTROSOCIAL ne doivent pas être pris en considération, représentant des avoirs acquis avant la date du mariage. Ainsi le demandeur doit à son ex-épouse le montant de 72'831 fr. 50 (145'663 fr. : 2) et celle-ci doit à celui- là le montant de 21'668 fr. 90 (43'337 fr. 80 : 2), de sorte que c’est le demandeur qui doit à son ex-épouse le montant de 51'162 fr. 60 (72'831 fr. 50 - 21'668 fr. 90).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A/3434/2008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