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ATAS/1125/2018 vom 3. Dezember 2018</w:t>
      </w:r>
    </w:p>
    <w:p>
      <w:r>
        <w:t>GE Cour de justice, 2018-12-03, FR</w:t>
      </w:r>
    </w:p>
    <w:p>
      <w:r>
        <w:rPr>
          <w:b/>
        </w:rPr>
        <w:t xml:space="preserve">Quelle: </w:t>
      </w:r>
      <w:r>
        <w:t>https://mcp.opencaselaw.ch/entscheid/ge_gerichte_ATAS_1125_2018</w:t>
      </w:r>
    </w:p>
    <w:p>
      <w:r>
        <w:t>FR: GE_GERICHTE ATAS/1125/2018 du 3 décembre 2018</w:t>
      </w:r>
    </w:p>
    <w:p>
      <w:r>
        <w:t>IT: GE_GERICHTE ATAS/1125/2018 del 3 dicembre 2018</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(PCC), la LPC et ses dispositions d’exécution fédérales et cantonales ainsi que la LPGA et ses dispositions d’exécution sont applicables par analogie en cas de silence de la législation cantonale (art. 1A LPCC).</w:t>
      </w:r>
    </w:p>
    <w:p>
      <w:r>
        <w:t>A/1599/2018 - 6/10 -</w:t>
      </w:r>
    </w:p>
    <w:p>
      <w:r>
        <w:rPr>
          <w:b/>
        </w:rPr>
        <w:t>E. 3</w:t>
      </w:r>
    </w:p>
    <w:p>
      <w:r>
        <w:t>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Interjeté en temps utile, le recours est recevable.</w:t>
      </w:r>
    </w:p>
    <w:p>
      <w:r>
        <w:rPr>
          <w:b/>
        </w:rPr>
        <w:t>E. 4</w:t>
      </w:r>
    </w:p>
    <w:p>
      <w:r>
        <w:t>Le litige porte sur le droit du recourant à des prestations complémentaires dès le 1er janvier 2017, singulièrement sur le calcul du montant de son épargne, étant constaté que le montant des biens dessaisis n’est plus litigieux.</w:t>
      </w:r>
    </w:p>
    <w:p>
      <w:r>
        <w:rPr>
          <w:b/>
        </w:rPr>
        <w:t>E. 5</w:t>
      </w:r>
    </w:p>
    <w:p>
      <w:r>
        <w:t>Selon l’art. 4 al. 1 let. a LPC, les personnes qui ont leur domicile et leur résidence habituelle (art. 13 LPGA) en Suisse ont droit à des prestations complémentaires dès lors qu'elles perçoivent une rente de vieillesse de l'assurance-vieillesse et survivants.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et un dixième de la fortune nette pour les bénéficiaires de rente de vieillesse dans la mesure où elle dépasse, pour les personnes seules, CHF 37'500.-.</w:t>
      </w:r>
    </w:p>
    <w:p>
      <w:r>
        <w:rPr>
          <w:b/>
        </w:rPr>
        <w:t>E. 6</w:t>
      </w:r>
    </w:p>
    <w:p>
      <w:r>
        <w:t>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Selon l'art. 5 LPCC,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cinquième pour les bénéficiaires de rentes de vieillesse, et ce après déduction des franchises prévues par cette disposition (let. c ch. 1).</w:t>
      </w:r>
    </w:p>
    <w:p>
      <w:r>
        <w:rPr>
          <w:b/>
        </w:rPr>
        <w:t>E. 7</w:t>
      </w:r>
    </w:p>
    <w:p>
      <w:r>
        <w:t>a. Selon l’art. 25 al. 1 let. c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w:t>
      </w:r>
    </w:p>
    <w:p>
      <w:r>
        <w:t>A/1599/2018 - 7/10 - fortune existant à la date à laquelle le changement intervient; on peut renoncer à adapter la prestation complémentaire annuelle, lorsque la modification est inférieure à CHF 120.- par an. Selon l’art. 25 al. 2 let. b OPC-AVS/AI, la nouvelle décision doit porter effet, dans les cas prévus par l'al. 1, let. c, lors d'une augmentation de l'excédent des dépenses, dès le début du mois au cours duquel le changement a été annoncé, mais au plus tôt à partir du mois dans lequel celui-ci est survenu. Selon l’art. 25 al. 3 OPC-AVS/AI, suite à une diminution de la fortune, un nouveau calcul de la prestation complémentaire annuelle ne peut être effectué qu'une fois par an. La chambre de céans a jugé que l’art. 25 al. 3 OPC-AVS/AI était conforme à la loi, en particulier à la délégation législative prévue aux art. 9 al. 5 et 33 LPC et que son but était d’empêcher qu’une prestation complémentaire ne doive être recalculée plusieurs fois par an lorsque la fortune de l’ayant droit diminue (Commentaire sur les modifications de l’OPC établi par l’Office fédéral des assurances sociales, in RCC 1986, p. 393). Cette disposition fixe des limites à la révision pro futuro d’une décision, ce qui n’apparait ni disproportionné ni contraire au but de la loi. En effet, si les revenus des bénéficiaires de prestations complémentaires, sur une année, sont, de manière générale, peu sujets à fluctuations, il peut ne pas en aller de même de leur fortune, notamment en raison de la situation souvent précaire des bénéficiaires. Dans ces circonstances, il apparait justifié, pour des raisons organisationnelles et pratiques, de limiter le nombre de révisions possibles durant un certain laps de temps. La sécurité du droit doit manifestement l’emporter sur la possibilité d’un justiciable de remettre continuellement en question une décision entrée en force (ATAS/1412/2012 du 3 mai 2012). b. Dans un arrêt 9C_777/2013 du 13 février 2014, le Tribunal fédéral a jugé qu'il y avait lieu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L'amortissement de la fortune systématique et indépendant des circonstances particulières était en revanche prohibé (arrêt du Tribunal fédéral 9C_968/2012 du 22 octobre 2013 consid. 6). Le principe jurisprudentiel selon lequel la décision sur opposition de l'organe de l'assurance sociale fixe la limite temporelle de l'état de fait déterminant (parmi de nombreux autres arrêts, ATF 131 V 242 consid. 2.1 p. 243)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131 V 407 consid. 2.1.2.1 p. 411). On ne saurait déduire de ce principe que l'organe d'exécution du régime des prestations</w:t>
      </w:r>
    </w:p>
    <w:p>
      <w:r>
        <w:t>A/1599/2018 - 8/10 - complémentaires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w:t>
      </w:r>
    </w:p>
    <w:p>
      <w:r>
        <w:rPr>
          <w:b/>
        </w:rPr>
        <w:t>E. 8</w:t>
      </w:r>
    </w:p>
    <w:p>
      <w:r>
        <w:t>a. En l’occurrence, l’intimé a calculé le droit aux prestations du recourant depuis le 1er octobre 2016, en prenant en compte les montants suivants de l’épargne de ce dernier : Octobre 2016 CHF 118'066.95 Novembre 2016 à juin 2017 CHF 118'894.50 Dès le 1er juillet 2017 CHF 74'817.- Ces montants ne sont pas contestés par le recourant. Ce dernier estime cependant que le montant de la fortune de CHF 74'817.-, arrêté au 31 décembre 2016, aurait déjà dû être pris en compte pour la période de calcul débutant le 1er janvier 2017, et non seulement dès le 1er juillet 2017. b. Au vu de la conclusion du recourant, il n’y a pas lieu d’examiner si c’est à bon droit que l’intimé, lors de la mise à jour de la fortune du recourant au 1er novembre 2016 (par la prise en compte de la PLP), a maintenu le montant de l’épargne existant au 31 décembre 2015, alors même que celui-ci avait diminué, comme l’attestent les extraits de compte au 30 septembre 2016 transmis par le recourant à l’intimé avec sa demande de prestations. c. En application de l’art. 25 al. 2 let. b OPC-AVS/AI, la diminution de la fortune du recourant ne peut être prise en compte qu’à partir du début du mois au cours duquel le changement a été annoncé, soit en l’espèce le 1er juillet 2017, le recourant ne contestant pas avoir annoncé à l’intimé le 14 juillet 2017 la mise à jour de sa fortune au 31 décembre 2016, de sorte que c’est à juste titre que la décision litigieuse prend en compte une fortune de CHF 74'817 dès le 1er juillet 2017. De même, la diminution de la fortune du recourant, attestée par les extraits des trois comptes auprès de Postfinance, de la BCGE et de la BAS au 31 décembre 2017, lesquels totalisent un montant de CHF 37'073.23, ne pourra être prise en compte que dès le 1er mai 2018, comme indiqué par l’intimé, dès lors que l’annonce de ce changement a été signalée à l’intimé le 9 mai 2018. Comme relevé par l’intimé, la situation du recourant diffère de celle de l’arrêt précité (arrêt du Tribunal fédéral 9C 777/2013 du 13 février 2014), dans le sens que la décision litigieuse est une décision initiale de prestations et non pas un recalcul rétroactif de celles-ci. Or, c’est dans le cadre du calcul rétroactif du droit aux prestations complémentaires, consécutif à la prise en considération subséquente d’éléments de fortune et de revenus dont l’administration n’avait pas connaissance au moment de ses décisions initiales, que la jurisprudence considère qu’une</w:t>
      </w:r>
    </w:p>
    <w:p>
      <w:r>
        <w:t>A/1599/2018 - 9/10 - diminution de fortune peut être prise en compte, en dehors de toute annonce de l’intéressé.</w:t>
      </w:r>
    </w:p>
    <w:p>
      <w:r>
        <w:rPr>
          <w:b/>
        </w:rPr>
        <w:t>E. 9</w:t>
      </w:r>
    </w:p>
    <w:p>
      <w:r>
        <w:t>Au vu de ce qui précède, le recours sera rejeté. Pour le surplus, la procédure est gratuite.</w:t>
      </w:r>
    </w:p>
    <w:p>
      <w:r>
        <w:t>A/1599/2018 - 10/10 -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