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ATAS/1125/2017 vom 11. Dezember 2017</w:t>
      </w:r>
    </w:p>
    <w:p>
      <w:r>
        <w:t>GE Cour de justice, 2017-12-11, FR</w:t>
      </w:r>
    </w:p>
    <w:p>
      <w:r>
        <w:rPr>
          <w:b/>
        </w:rPr>
        <w:t xml:space="preserve">Quelle: </w:t>
      </w:r>
      <w:r>
        <w:t>https://mcp.opencaselaw.ch/entscheid/ge_gerichte_ATAS_1125_2017</w:t>
      </w:r>
    </w:p>
    <w:p>
      <w:r>
        <w:t>FR: GE_GERICHTE ATAS/1125/2017 du 11 décembre 2017</w:t>
      </w:r>
    </w:p>
    <w:p>
      <w:r>
        <w:t>IT: GE_GERICHTE ATAS/1125/2017 del 11 dicembre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 recourante à une rente d’invalidité, singulièrement sur la détermination de son statut.</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A/3477/2017 - 9/16 -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w:t>
      </w:r>
    </w:p>
    <w:p>
      <w:r>
        <w:t>A/3477/2017 - 10/16 -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Le Tribunal fédéral a confirmé le statut de non active d’une mère qui n’avait travaillé que durant deux mois en 2006, depuis son arrivée en Suisse en 1992, qui n’avait fourni aucune pièce attestant de recherches d’emplois depuis 1992, qui s’était annoncée comme femme au foyer et n’avait recherché aucun emploi avant sa maladie alors qu’elle disait avoir la volonté de travailler (arrêt du Tribunal fédéral du 14 octobre 2014 9C 352/2014). En revanche, le Tribunal fédéral a admis le statut d’active à 100% d’une assurée, en prenant en compte les modestes revenus de son mari, les enfants désormais adultes et une activité exercée à temps complet pendant huit mois avant d’être atteinte dans sa santé (arrêt du Tribunal fédéral du 9 août 2013 9C 260/2013). Par ailleurs, le Tribunal Fédéral a considéré qu’en indiquant dans sa demande de prestations qu’elle était femme au foyer, l’assurée n’exposait pas quelle aurait été son activité hypothétique sans atteinte à la santé, mais décrivait quelle était sa situation effective (ATF du 27 septembre 2013 9C 435/2013).</w:t>
      </w:r>
    </w:p>
    <w:p>
      <w:r>
        <w:rPr>
          <w:b/>
        </w:rPr>
        <w:t>E. 9</w:t>
      </w:r>
    </w:p>
    <w:p>
      <w:r>
        <w:t>Selon l'arrêt de la Cour européenne des droits de l'homme [CourEDH] Di Trizio contre Suisse du 2 février 2016 (n° 7186/09), l'application dans l'assurance- invalidité de la méthode mixte d'évaluation de l'invalidité à une assurée qui, sans atteinte à la santé, n'aurait travaillé qu'à temps partiel après la naissance de ses enfants et s'est vue de ce fait supprimer la rente d'invalidité en application des règles sur la révision de la rente constitue une violation de l'art. 14 CEDH (interdiction de la discrimination) en relation avec l'art. 8 CEDH (droit au respect de la vie privée et familiale; arrêt du Tribunal fédéral 9C_473/2016 du 25 janvier 2017 consid. 4).</w:t>
      </w:r>
    </w:p>
    <w:p>
      <w:r>
        <w:t>A/3477/2017 - 11/16 - On ne saurait déduire des considérants de l'arrêt de la CourEDH que la méthode mixte d'évaluation de l'invalidité « viole la Convention » sans égard à la situation concrète dont avait à juger la CourEDH (arrêt du Tribunal fédéral 9C_473/2016, op. cit., consid. 4). Ainsi, la suppression d'une rente d'invalidité dans le cadre d'une révision est contraire à la CEDH lorsque seuls des motifs d'ordre familial (la naissance d'enfants et la réduction de l'activité professionnelle qui en découle) conduisent à un changement de statut de « personne exerçant une activité lucrative à plein temps » à « personne exerçant une activité lucrative à temps partiel » (en consacrant son temps libre à l'accomplissement de travaux habituels; ATF 143 I 50 consid. 4). La diminution d'une rente dans le cadre d'une révision est aussi contraire à la CEDH lorsque seuls des motifs d'ordre familial (la naissance d'enfants et la réduction de l'activité professionnelle qui en découle) conduisent à un changement de statut de "personne exerçant une activité lucrative à plein temps" à "personne exerçant une activité lucrative à temps partiel" (en consacrant son temps libre à l'accomplissement de travaux habituels; ATF 143 I 60 consid. 3.3.4).</w:t>
      </w:r>
    </w:p>
    <w:p>
      <w:r>
        <w:rPr>
          <w:b/>
        </w:rPr>
        <w:t>E. 10</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w:t>
      </w:r>
    </w:p>
    <w:p>
      <w:r>
        <w:t>A/3477/2017 - 12/16 -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w:t>
      </w:r>
    </w:p>
    <w:p>
      <w:r>
        <w:rPr>
          <w:b/>
        </w:rPr>
        <w:t>E. 11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w:t>
      </w:r>
    </w:p>
    <w:p>
      <w:r>
        <w:t>A/3477/2017 - 13/16 -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13</w:t>
      </w:r>
    </w:p>
    <w:p>
      <w:r>
        <w:t>En vertu des art. 28 al. 1 et 29 al. 1 LAI (dans leur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14</w:t>
      </w:r>
    </w:p>
    <w:p>
      <w:r>
        <w:t>En l’occurrence, la recourante conteste le statut de non active retenu par l’intimé. A cet égard, il convient de constater que la recourante a effectivement recherché un emploi à 100% dès son arrivée en Suisse en 1997, titulaire d’un diplôme d’ingénieure chimiste, elle a produit six lettre de candidature adressées à plusieurs employeurs entre le 11 novembre 1997 et le 23 avril 1998 dans son domaine de formation mais aussi comme employée de bureau ou ouvrière de conditionnement. Courant 1998, la recourante était enceinte de son premier enfant, ayant accouché le 26 janvier 1999 ; elle a déclaré avoir, pour cette raison, interrompu ses recherches d’emploi pour s’occuper de ses enfants, dont les trois suivants sont nés le 16 juin 2000, le 10 février 2002 et le 6 septembre 2003. Elle a déclaré avoir toutefois envisagé de reprendre une activité professionnelle dès que sa fille cadette aurait dix ans, soit en 2013. Ces déclarations sont cohérentes et corroborées par la lettre de postulation envoyée par la recourante le 26 avril 2013 à la crèche L______, afin de pouvoir y effectuer un stage, par le stage de deux jours suivi courant 2013 à la crèche de la L______, et admis par l’intimé, par l’entretien que la recourante a eu en 2013 concernant une possibilité d’exercer comme maman de jour ainsi que par le suivi de l’OFPC, en particulier par la prestation Femme et Emploi délivrée entre le 17 et le 24 avril 2013, attesté par la conseillère en orientation le 30 octobre 2017,</w:t>
      </w:r>
    </w:p>
    <w:p>
      <w:r>
        <w:t>A/3477/2017 - 14/16 - étant relevé que cette prestation s’adresse justement aux femmes souhaitant reprendre une activité professionnelle après un temps d’arrêt et que la recourante a été orientée à cette occasion dans le domaine de la petite enfance. Cette déclaration d’intention, corroborée par les démarches précitées est également confortée par la situation financière de la recourante, qu’elle a elle-même qualifiée de très difficile, ce qui n’est pas contesté par l’intimé, avec un époux qui ne travaille que dans le cadre de contrats limités, placé par le service social et quatre enfants à charge (procès-verbal d’audience du 27 novembre 2017) ainsi qu’un suivi par l’Hospice général depuis le 1er avril 2009. Du point de vue médical, la recourante a présenté des gonalgies depuis 2012, avec une chondropathie fémoro-patellaire et fémoro-tibiale interne (avis du Dr C______ du 6 juin 2012 et des HUG du 29 octobre 2012), et une opération du genou gauche en février 2016, des douleurs lombaires (avis des HUG du 6 novembre 2013), depuis janvier 2014 des polyarthralgies et des épisodes d’uréite ainsi qu’une spondylarthropathie (avis des Drs I______ du 16 septembre 2016 et D______ du 31 août 2016), avec une aggravation des douleurs aux membres inférieurs depuis juin 2016 (avis du Dr M______ du 23 septembre 2016). L’état de santé de la recourante, affecté depuis 2012, s’est aggravé début 2014 avec les problèmes oculaires et les polyarthralgies, de sorte que la cessation de toute recherche d’emploi par la recourante dès 2014, pour raison médicale, est documentée par les avis médicaux au dossier. Au vu de ce qui précède, force est de constater que, sans atteinte à la santé, la recourante aurait, au degré de la vraisemblance prépondérante, débuté une activité professionnelle à 100% dès l’année 2013/2014. En conséquence, il convient de lui reconnaître un statut d’active à 100%. En revanche, le dossier est insuffisamment instruit par l’intimé sur la question de la capacité de travail de la recourante, seule une évaluation des empêchements dans la sphère ménagère ayant été effectuée, par le biais de l’enquête ménagère. La représentante de l’intimé a d’ailleurs déclaré que le dossier avait été traité uniquement sous l’angle du statut ménager, sans indication sur la capacité de travail de la recourante (procès-verbal d’audience du 27 novembre 2017). Dans ces conditions, il convient d’admettre partiellement le recours, d’annuler la décision litigieuse et de renvoyer la cause à l’intimé pour instruction complémentaire sur la question de la capacité de travail de la recourante et nouvelle décision.</w:t>
      </w:r>
    </w:p>
    <w:p>
      <w:r>
        <w:rPr>
          <w:b/>
        </w:rPr>
        <w:t>E. 15</w:t>
      </w:r>
    </w:p>
    <w:p>
      <w:r>
        <w:t>Etant donné que, depuis le 1er juillet 2006, la procédure n'est plus gratuite (art. 69 al. 1bis LAI), au vu du sort du recours, il y a lieu de condamner l'intimé au paiement d'un émolument de CHF 200.-</w:t>
      </w:r>
    </w:p>
    <w:p>
      <w:r>
        <w:t>A/3477/2017 - 15/16 -</w:t>
      </w:r>
    </w:p>
    <w:p>
      <w:r>
        <w:t>A/3477/2017 - 16/16 -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