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ATAS/1124/2020 vom 24. November 2020</w:t>
      </w:r>
    </w:p>
    <w:p>
      <w:r>
        <w:t>GE Cour de justice, 2020-11-24, FR</w:t>
      </w:r>
    </w:p>
    <w:p>
      <w:r>
        <w:rPr>
          <w:b/>
        </w:rPr>
        <w:t xml:space="preserve">Quelle: </w:t>
      </w:r>
      <w:r>
        <w:t>https://mcp.opencaselaw.ch/entscheid/ge_gerichte_ATAS_1124_2020</w:t>
      </w:r>
    </w:p>
    <w:p>
      <w:r>
        <w:t>FR: GE_GERICHTE ATAS/1124/2020 du 24 novembre 2020</w:t>
      </w:r>
    </w:p>
    <w:p>
      <w:r>
        <w:t>IT: GE_GERICHTE ATAS/1124/2020 del 24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compte tenu du report du terme du délai - échéant un dimanche - au premier jour ouvrable suivant, soit le 9 mars 2020, le recours est recevable (art. 38 al. 3, 56 et 60 LPGA ; art. 89B de la loi sur la procédure administrative du 12 septembre 1985 - [LPA-GE -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w:t>
      </w:r>
    </w:p>
    <w:p>
      <w:r>
        <w:t>A/875/2020 - 14/28 -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au vu de la décision attaquée et du recours, le litige porte sur le droit de la recourante à une rente entière d’invalidité plutôt qu’à une demi-rente, dès le 1er janvier 2016, singulièrement sur l’évaluation de son taux d’invalidité.</w:t>
      </w:r>
    </w:p>
    <w:p>
      <w:r>
        <w:rPr>
          <w:b/>
        </w:rPr>
        <w:t>E. 5</w:t>
      </w:r>
    </w:p>
    <w:p>
      <w:r>
        <w:t>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w:t>
      </w:r>
    </w:p>
    <w:p>
      <w:r>
        <w:t>A/875/2020 - 15/28 -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Par ailleurs,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les troubles dépressifs de degré léger ou moyen (ATF 143 V 409 consid. 4.5.1). b. S’agissant du caractère invalidant d’un trouble somatoforme douloureux ou d’autres affections psychiques,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standards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w:t>
      </w:r>
    </w:p>
    <w:p>
      <w:r>
        <w:t>A/875/2020 - 16/28 -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c. Dans sa jurisprudence récente, le Tribunal fédéral a maintenu, voire renforcé, la portée des motifs d’exclusion définis dans l’ATF 131 V 49, aux termes desquels il y a lieu de conclure à l’absence d’une atteinte à la santé ouvrant droit aux prestations d’assurance si les limitations liées à l’exercice d’une activité résultent d’une exagération des symptômes ou d’une constellation semblable et ce, même si les caractéristiques d’un TSD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l’assuré et celles ressortant de l’anamnèse, le fait que des plaintes très démonstratives laissent insensible l’expert, ainsi que l’allégation de lourds handicaps malgré un environnement psycho-social intact. À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Dans la mesure où les indices ou les manifestations susmentionnés apparaissent en plus d’une atteinte à la santé indépendante avérée (ATF 127 V 294 consid. 5a), les effets de celle-ci doivent être corrigés en tenant compte de l’étendue de l’exagération. (ATF 141 V 281 consid. 2.2.1-2.2.2). d. Même si un trouble psychique, pris séparément, n’est pas invalidant en application de la nouvelle jurisprudence, il doit être pris en considération dans l’appréciation globale de la capacité de travail, qui tient compte des effets</w:t>
      </w:r>
    </w:p>
    <w:p>
      <w:r>
        <w:t>A/875/2020 - 17/28 -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w:t>
      </w:r>
    </w:p>
    <w:p>
      <w:r>
        <w:t>A/875/2020 - 18/28 -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 dans la décision attaquée, a accordé à la recourante une demi-rente d’invalidité, dès le 1er janvier 2016. Constatant qu’avant son atteinte, la recourante travaillait à temps partiel (85 %), l’intimé a retenu un statut mixte, pondéré à 85 % pour l’activité professionnelle et à 15 % pour les travaux ménagers, ce que l’intéressée ne conteste pas. Dans la sphère ménagère, l’intimé, se fondant sur l’enquête du 19 juin 2019, a retenu des empêchements nuls (0 %), ce que la recourante ne critique pas davantage. Dans la sphère professionnelle, l’intimé a retenu, sur la base de l’expertise réalisée par les Drs M______ et N______, une capacité de travail nulle dans l’activité habituelle dès le 27 janvier 2015, mais de 50 %, dès le mois de mars 2015, dans toute activité adaptée aux limitations fonctionnelles. La recourante conteste la valeur probante de cette expertise et soutient que les experts auraient dû lui reconnaître une totale incapacité de travail dans toute profession, de sorte qu’une rente entière d’invalidité aurait dû lui être accordée. Elle allègue que les experts ont évalué sa capacité de travail de manière contradictoire sous l’angle rhumatologique et sous l’angle psychiatrique. Par ailleurs, elle considère ne pas pouvoir se réinsérer dans une nouvelle profession, vu sa faible capacité d’adaptation et les limitations retenues par l’expert-psychiatre. Elle s’estime également incapable de travailler comme conductrice de navette, compte tenu de ses problèmes de concentration et des antidépresseurs qu’elle prend. Elle souligne qu’elle remplit tous les critères énoncés dans la lettre circulaire relative aux atteintes psychosomatiques, puisqu’elle souffre d’une fibromyalgie et d’un trouble dépressif récurrent, pour lesquels les traitements se sont révélés inefficaces, que son cercle social est limité à sa famille, que ses ressources sont restreintes, que ses proches accomplissent la plupart des tâches ménagères, et que ses activités</w:t>
      </w:r>
    </w:p>
    <w:p>
      <w:r>
        <w:t>A/875/2020 - 19/28 - quotidiennes se résument à regarder la télévision ainsi qu’à surfer sur Internet. À l’appui de son argumentation, la recourante se prévaut de rapports établis par ses médecins.</w:t>
      </w:r>
    </w:p>
    <w:p>
      <w:r>
        <w:rPr>
          <w:b/>
        </w:rPr>
        <w:t>E. 11</w:t>
      </w:r>
    </w:p>
    <w:p>
      <w:r>
        <w:t>a. La chambre de céans constate que l’expertise rhumatologique et psychiatrique réalisée par les Drs M______ et N______ repose sur une anamnèse complète, effectuée en connaissance du dossier médical, sur les indications subjectives de l’assurée, des observations cliniques ainsi qu’une discussion détaillée, dont on précisera qu’elle suit à juste titre la grille d’analyse prescrite par la jurisprudence en matière de trouble somatoforme douloureux, laquelle s’applique également aux cas de fibromyalgie (ATF 141 V 281 consid. 4.3-4.4 ; ATF 132 V 65 consid. 4.1). En outre, ses conclusions sont motivées, de sorte qu’elle satisfait aux réquisits jurisprudentiels topiques en matière de valeur probante. Il ressort de cette expertise que, conformément à la jurisprudence, les médecins du CEMEDEX ont dûment apprécié les diagnostics, la cohérence des limitations décrites par la recourante, l’adéquation du traitement suivi, ainsi que ses ressources personnelles et son contexte social. Selon les experts, la recourante souffre d’une fibromyalgie (M79.7), d’un trouble dépressif récurrent, épisode actuel moyen avec syndrome somatique (F33.11), d’un trouble de la personnalité dépendante (F60.7) et d’une chondropathie au niveau des genoux. Les experts ont justifié leurs diagnostics (ATF 141 V 281 consid. 2.1.1 et 4.3.1.1), tout en expliquant pourquoi ils s’écartaient de l’expertise du Dr H______, arguant qu’une pathologie psychiatrique leur paraissait avérée et que le rétrécissement du champ social décrit par l’assurée leur paraissait plausible, au vu de la symptomatologie. S’agissant du traitement (consid. 4.3.1.2), les experts ont exposé en substance que la symptomatologie douloureuse et dépressive n’avait pas évolué, malgré un suivi psychothérapeutique régulier et un traitement médicamenteux ; ils ont suggéré la poursuite de la psychothérapie et un changement de classe d’antidépresseurs, voire un traitement par électrochocs en cas d’échec. S’agissant des comorbidités, les experts ont analysé globalement, comme le prescrit la jurisprudence (consid. 4.3.1.3), l’influence de la fibromyalgie et des pathologies concomitantes, en soulignant que les pathologies de l’assurée étaient liées entre elles (la personnalité dépendante favorisait les épisodes dépressifs, lesquels se traduisaient par des douleurs chroniques et une fibromyalgie, aggravant à leur tour la dépression). Ainsi, même si le trouble dépressif récurrent n’avait pas, à lui seul, d’effet sur la capacité de travail en raison du caractère moyen des symptômes, il fallait tout de même tenir compte de l’interrelation entre la douleur chronique, la personnalité dépendante et les symptômes psychiatriques, lesquels limitaient la capacité de l’assurée à surmonter ses difficultés. S’agissant du contexte social (consid. 4.3.3), les experts, après avoir rappelé que la recourante vivait avec son mari et son fils adulte, qu’elle avait des contacts journaliers avec sa belle-mère et qu’elle faisait régulièrement de la physiothérapie, ont relevé que l’entourage familial jouait un rôle paradoxal, dans la mesure où il maintenait la recourante dans</w:t>
      </w:r>
    </w:p>
    <w:p>
      <w:r>
        <w:t>A/875/2020 - 20/28 - une situation de dépendance. Sous l’angle de la cohérence (consid. 4.4), les experts ont mis en évidence une discordance au sujet des plaintes douloureuses, dans le sens d’une recherche de bénéfices secondaires et d’une exagération des douleurs (douleurs estimées à 10/10 sur une échelle visuelle analogique, démonstrativité et pleurs lors de la mobilisation de chaque articulation, malgré un examen rhumatologique rassurant, inadéquation entre les constatations cliniques et la vie quotidienne, etc). S’agissant des ressources (consid. 4.3.2), les experts les ont certes qualifiées de « faibles » au vu du manque de formation de l’assurée et du fait que cette dernière se limitait, d’un point de vue social, à son cercle familial. Ils ont néanmoins relevé que la recourante disposait encore de « capacités adaptatives » partielles pour réintégrer le monde du travail. Ils ont préconisé que l’intéressée, en vue de reprendre confiance, s’immerge progressivement dans des situations anxiogènes, voire s’éloigne de son milieu familial. Ils ont conclu à une capacité de travail de 50 % dans toute profession respectant certaines limitations fonctionnelles (travaux ne nécessitant ni une activité intellectuelle trop intense, ni des efforts de mémorisation importants, ni des positions agenouillées / accroupies). b. Lorsqu’une appréciation repose sur une évaluation médicale complète, comme l’est celle des Drs M______ et N______,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(cf. supra consid. 8). En l’occurrence, les avis des médecins de la recourante rejoignent, pour l’essentiel, celui des experts. En effet, le Dr D______ a jugé « raisonnables » les conclusions des experts sur la capacité de travail et a indiqué ne pas avoir de remarques particulières à formuler au sujet du rapport d’expertise ; la seule réserve qu’il a faite concerne l’activité de chauffeur de navette, eu égard à la médication prise par la recourante. De son côté, le Dr I______ n’a pas non plus formulé de remarques au sujet de l’expertise, estimant qu’au vu de ses limitations physiques, l’intéressée pourrait travailler au maximum à mi-temps dans une profession adaptée, autre que celle de chauffeur de navette. Les conclusions du Dr I______ ne divergent pas fondamentalement de celles des experts, en tout cas en ce qui concerne l’exercice d’une activité adaptée, pour laquelle les experts ont également conclu à une capacité de travail de 50 % (quand bien même ils ont considéré que l’incapacité de travail était d’origine psychique plutôt que somatique). Quant au Dr F______, il a lui aussi conclu à une capacité de résiduelle de travail de 50 %. En réalité, seul le psychiatre actuel de la recourante, le Dr K______, s’est écarté dans une mesure un peu plus importante de l’expertise, en retenant le diagnostic de trouble dépressif récurrent, épisode actuel sévère, et en indiquant qu’il lui « sembl[ait] que la patiente [avait] une incapacité de travail supérieure à 50 % […] ». On relèvera toutefois que ce psychiatre s’est exprimé en termes très mesurés et en précisant que « [n]’étant</w:t>
      </w:r>
    </w:p>
    <w:p>
      <w:r>
        <w:t>A/875/2020 - 21/28 - pas expert, il [lui était] difficile de se prononcer sur une incapacité de travail […] ». Quoi qu’il en soit, ce médecin s’est livré à une simple appréciation divergente de l’intensité du trouble dépressif et de la capacité de travail, sans faire état d’éléments objectifs qui pourraient avoir été ignorés, de sorte que son point de vue ne saurait prévaloir sur celui des experts. Les autres médecins consultés par la recourante n’ont pas non plus mis en évidence d’élément déterminant que les experts pourraient avoir omis. L’argumentation exposée par la recourante ne permet pas davantage de mettre en doute les conclusions des experts, notamment en ce qui concerne l’exercice d’une activité adaptée. Contrairement à ce qu’elle prétend, les experts en rhumatologie et psychiatrie n’ont pas évalué la capacité de travail de manière contradictoire, mais bel et bien de manière consensuelle, comme cela ressort expressément de la première partie de leur rapport (intitulée « évaluation consensuelle »). Ensuite, lorsqu’elle affirme que les limitations retenues par l’expert-psychiatre empêchent toute réinsertion dans une nouvelle profession, ou encore qu’elle remplit « tous les critères » énoncés dans la lettre circulaire relative aux atteintes psychosomatiques, en énumérant certains symptômes tirés du rapport d’expertise, qu’elle complète avec ses propres affirmations, pour en déduire une totale incapacité de travail, la recourante se limite à opposer sa propre appréciation à celle des experts, ce qui ne suffit pas à remettre en question leur rapport. Par ailleurs, quoi qu’en dise la recourante, les experts étaient libres de conclure à une incapacité de travail partielle (50 %) plutôt que totale. À ce propos, il convient de rappeler que la nouvelle jurisprudence en matière de troubles somatoformes douloureux et d’affections psychosomatiques assimilées ne repose pas (ou plus) sur la conception que le caractère surmontable des douleurs serait indivisible, de sorte que seule entrerait en considération une capacité de travail nulle ou entière (arrêt du Tribunal fédéral 9C_492/2014 du 3 juin 2015 consid. 3.4.2.2). Pour le reste, dans la mesure où la recourante conteste être en mesure de travailler comme chauffeur de navette, elle soulève un argument qui n’est pas décisif pour l’issue du litige. En effet, l’intimé a évalué son degré d’invalidité en se fondant sur les conclusions des experts portant sur sa capacité de travail dans toute activité adaptée à ses limitations (et non spécifiquement dans la profession de chauffeur de navette). Enfin, la recourante se méprend lorsqu’elle affirme, dans le but de réfuter toute exagération des symptômes, « [qu’] un trouble somatoforme douloureux étant un trouble non objectivable, [….] [elle] peine à comprendre ce que les experts auraient pu constater de plus pour expliquer les douleurs ». Contrairement à ce qu’elle semble considérer, ce n’est pas parce que l’absence d’explication objective à une symptomatologie douloureuse est une caractéristique du trouble somatoforme douloureux (ou de la fibromyalgie) qu’il ne peut pas y avoir de signes d’exagération justifiant de relativiser la gravité du diagnostic (sur l’ensemble de la question, cf. ATF 141 V 281 consid. 2.2.).</w:t>
      </w:r>
    </w:p>
    <w:p>
      <w:r>
        <w:t>A/875/2020 - 22/28 - c. Au vu de ce qui précède, c’est à bon droit que l’intimé s’est rallié aux conclusions de l’expertise réalisée par les Drs M______ et N______, dont il résulte une capacité de travail nulle, dès le mois de janvier 2015, dans l’activité de nettoyeuse, mais de 50 %, dès le mois de mars 2015, dans toute profession adaptée aux limitations fonctionnelles.</w:t>
      </w:r>
    </w:p>
    <w:p>
      <w:r>
        <w:rPr>
          <w:b/>
        </w:rPr>
        <w:t>E. 12</w:t>
      </w:r>
    </w:p>
    <w:p>
      <w:r>
        <w:t>À ce stade, il convient d’examiner le degré d’invalidité de la recourante. a.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L’assuré appartient à l’une ou l’autre de ces trois catégories en fonction de ce qu’il aurait fait dans les mêmes circonstances si l’atteinte à la santé n’était pas survenue (ATF 137 V 334 consid. 3.2). b. Dans la méthode d’évaluation mixte,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 revenus (art. 16 LPGA) ; on pourra alors déterminer l’invalidité globale d’après le temps consacré à ces deux champs d’activité (ATF 137 V 334 consid. 5). c. Pour évaluer le taux d’invalidité par comparaison des revenus,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(ci-après : ESS), publiée par l’Office fédéral de la</w:t>
      </w:r>
    </w:p>
    <w:p>
      <w:r>
        <w:t>A/875/2020 - 23/28 - statistique (ATF 124 V 321, consid. 3b/aa).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 d. Pour la part de l’activité ménagère, le degré d’invalidité se détermine, en règle générale, au moyen d’une enquête économique sur place (ATF 130 V 97).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w:t>
      </w:r>
    </w:p>
    <w:p>
      <w:r>
        <w:t>A/875/2020 - 24/28 -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w:t>
      </w:r>
    </w:p>
    <w:p>
      <w:r>
        <w:rPr>
          <w:b/>
        </w:rPr>
        <w:t>E. 13</w:t>
      </w:r>
    </w:p>
    <w:p>
      <w:r>
        <w:t>Selon l’art. 27bis RAI, dans sa teneur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le calcul du taux d’invalidité pour la partie concernant l’activité lucrative demeure régi par l’art. 16 LPGA. L’élément nouveau par rapport à l’ancien art. 27bis RAI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Selon les dispositions transitoires de cette modification, pour les trois-quarts de rentes, demi-rentes et quarts de rentes en cours octroyés en application de la méthode mixte avant l’entrée en vigueur de la modification du 1er décembre 2017, une révision doit être initiée dans le délai d’un an après l’entrée en vigueur de la</w:t>
      </w:r>
    </w:p>
    <w:p>
      <w:r>
        <w:t>A/875/2020 - 25/28 - présente modification. Une éventuelle augmentation de la rente prend effet au moment de l’entrée en vigueur de la présente modification (RO 2017 7581).</w:t>
      </w:r>
    </w:p>
    <w:p>
      <w:r>
        <w:rPr>
          <w:b/>
        </w:rPr>
        <w:t>E. 14</w:t>
      </w:r>
    </w:p>
    <w:p>
      <w:r>
        <w:t>a. Dans la sphère professionnelle, l’intimé a chiffré le degré d’invalidité à 63.6 % du 1er janvier 2016 au 31 décembre 2017, puis à 69 % dès le 1er janvier 2018, en comparant le revenu sans invalidité que la recourante aurait perçu en bonne santé (CHF 68'475.- pour un taux d’activité de 85 % en 2016-2017 et CHF 81'243.- dès 2018, en partant de l’hypothèse d’une activité exercée à 100 %, étant rappelé que, selon l’art. 27bis RAI, dans sa teneur en vigueur depuis 2018, le revenu sans invalidité doit être extrapolé en partant de l’hypothèse d’une activité professionnelle exercée à plein temps), avec le revenu statistique d’invalide (CHF 24'933.-) qu’elle aurait été en mesure de réaliser à 50 % dans une activité adaptée à son handicap (ESS 2016, tableau T1_tirage_skill_level, niveau de compétence 1, indexé), après déduction d’un abattement de 10 %, pour tenir compte de ses années de service auprès du même employeur et de son taux d’occupation partiel. De son côté, outre la critique portant sur les dispositions transitoires du nouvel art. 27bis al. 2 à 4 RAI (cf. infra consid. 15), la recourante se limite à critiquer le taux d’abattement (10 %) que l’intimé a déduit de son revenu d’invalide, dont elle requiert l’augmentation à 15 %. Elle soutient qu’après avoir fait toute sa carrière dans le nettoyage, il lui serait difficile, à 54 ans et dans la mesure où elle ne maîtrise pas parfaitement le français, de trouver un emploi ne requérant ni faculté d’adaptation, ni activité intellectuelle trop intense, ni positions agenouillées ou accroupies. Même dans l’hypothèse d’un engagement, elle devrait s’attendre à un salaire plus bas que ses collègues. b. En l’occurrence, le taux d’abattement de 10 % fixé par l’intimé ne prête pas le flanc à la critique. En retenant le critère des années de service (en sus de celui du taux d’occupation partiel), l’intimé a déjà tenu compte du fait que la recourante avait travaillé pendant de longues années auprès du même employeur. Par ailleurs, l’âge de la recourante – 53 ans à la date de l’expertise des Drs M______ et N______ – n’atteint pas le seuil à partir duquel le Tribunal fédéral considère qu’une méthode d’évaluation plus concrète de l’invalidité est nécessaire (arrêt du Tribunal fédéral 9C_612/2007 du 14 juillet 2008 consid. 5.2). En ce qui concerne les difficultés linguistiques invoquées, on relèvera que le niveau de qualification professionnelle retenu ne nécessite pas une bonne maîtrise d’une langue nationale (arrêt du Tribunal fédéral 9C_42/2017 du 29 juin 2017 consid. 3.4). S’agissant des limitations fonctionnelles, une réduction à ce titre ne se justifie pas lorsque ces limitations ont déjà été suffisamment prises en considération lors de l’appréciation de la capacité de travail (arrêt du Tribunal fédéral des assurances I 16/05 du 13 mars 2006 consid. 6.3). Tel est le cas en l’espèce, dans la mesure où les experts ont conclu à une capacité résiduelle de travail de 50 %, précisément pour tenir compte des troubles de la recourante. Pour le reste, l’intéressée ne met pas en évidence d’autres éléments qui justifieraient un taux d’abattement supérieur à 10 %.</w:t>
      </w:r>
    </w:p>
    <w:p>
      <w:r>
        <w:t>A/875/2020 - 26/28 - Dans la sphère professionnelle, la comparaison des revenus déterminants met en évidence une perte de gain de 63.6 % du 1er janvier 2016 au 31 décembre 2017 [(CHF 68'475.- – CHF 24'933.-) / CHF 68'475.-], puis de 69 % dès le 1er janvier 2018 [(CHF 81'243.- – CHF 24'933.-) / CHF 81'243.-], en partant, dès cette dernière date, de l’hypothèse d’une activité lucrative exercée à plein temps (art. 27bis al. 3 let. a RAI). Ces deux taux doivent encore être pondérés à 85 % pour tenir compte de la clé de répartition entre les sphères professionnelles et ménagères (art. 27bis al. 4 RAI), ce qui donne un degré d’invalidité de 54 % dès le 1er janvier 2016 (85 % x 63.6 %), puis de 59 % dès le 1er janvier 2018 (85 % x 69 %). c. Dans la sphère ménagère, il ressort de l’enquête du 19 juin 2019 des empêchements nuls (0 %), compte tenu de l’aide exigible de la part de l’époux et du fils de la recourante. Il n’y a pas lieu de revenir sur cette enquête, dont la recourante ne conteste pas la valeur probante. d. En conclusion, le degré d’invalidité global, tenant compte des sphères professionnelle et ménagère, s’élève à 54 % dès le 1er janvier 2016 [(85 % x 63.6 %) + (15 % x 0 %)], puis à 59 % dès le 1er janvier 2018 [(85 % x 69%) + (15 % x 0 %)]. Aussi est-ce à juste titre que l’intimé a accordé à la recourante une demi-rente d’invalidité dès le 1er janvier 2016 (art. 28 al. 2 LAI).</w:t>
      </w:r>
    </w:p>
    <w:p>
      <w:r>
        <w:rPr>
          <w:b/>
        </w:rPr>
        <w:t>E. 15</w:t>
      </w:r>
    </w:p>
    <w:p>
      <w:r>
        <w:t>Enfin, la recourante soutient qu’il est discriminatoire d’appliquer l’ancienne méthode de calcul de la méthode mixte pour la période antérieure au 1er janvier 2018, date de l’entrée en vigueur de la nouvelle teneur de l’art. 27bis RAI. Selon elle, il conviendrait d’appliquer le nouveau calcul découlant de cette disposition, non pas dès le 1er janvier 2018, mais dès le début de l’incapacité de travail. La chambre de céans constate que le sort de ce grief n’est pas propre à modifier l’issue du litige, puisque le degré d’invalidité n’ouvre quoi qu’il en soit droit qu’à une demi-rente d’invalidité, ceci que l’on applique l’ancien ou le nouveau calcul. En effet, comme cela vient d’être exposé, le degré d’invalidité s’élève à 54 % selon l’ancien calcul et à 59 % selon le nouveau, de sorte qu’il demeure inférieur, dans les deux cas, au seuil de 60 % donnant droit à un trois-quarts de rente. Au demeurant, on relèvera que dans l’ATF 143 I 50 (consid. 4.4), le Tribunal fédéral n’a précisément pas remis en question la « réglementation transitoire » prévue dans la lettre circulaire AI n°355, évoquée par la recourante dans ses écritures (celle-ci prévoyait, pour les cas concernant une première attribution de rente, l’application de l’ancien droit jusqu’à l’entrée en vigueur de la nouvelle réglementation en matière de méthode mixte). Le principe selon lequel une éventuelle augmentation de la rente prend effet au moment de l’entrée en vigueur de la présente modification (RO 2017 7581), le 1er janvier 2018, n’est dès lors pas critiquable.</w:t>
      </w:r>
    </w:p>
    <w:p>
      <w:r>
        <w:rPr>
          <w:b/>
        </w:rPr>
        <w:t>E. 16</w:t>
      </w:r>
    </w:p>
    <w:p>
      <w:r>
        <w:t>Mal fondé, le recours est rejeté.</w:t>
      </w:r>
    </w:p>
    <w:p>
      <w:r>
        <w:t>A/875/2020 - 27/28 -</w:t>
      </w:r>
    </w:p>
    <w:p>
      <w:r>
        <w:rPr>
          <w:b/>
        </w:rPr>
        <w:t>E. 17</w:t>
      </w:r>
    </w:p>
    <w:p>
      <w:r>
        <w:t>La procédure de recours en matière de contestation portant sur l’octroi ou le refus de prestations de l’assurance-invalidité étant soumise à des frais de justice, la recourante sera condamnée au paiement d’un émolument, arrêté au montant minimal de CHF 200.- (art. 69 al. 1bis LAI). ******</w:t>
      </w:r>
    </w:p>
    <w:p>
      <w:r>
        <w:t>A/875/2020 - 28/28 -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