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ATAS/1124/2008 vom 8. Oktober 2008</w:t>
      </w:r>
    </w:p>
    <w:p>
      <w:r>
        <w:t>GE Cour de justice, 2008-10-08, FR</w:t>
      </w:r>
    </w:p>
    <w:p>
      <w:r>
        <w:rPr>
          <w:b/>
        </w:rPr>
        <w:t xml:space="preserve">Quelle: </w:t>
      </w:r>
      <w:r>
        <w:t>https://mcp.opencaselaw.ch/entscheid/ge_gerichte_ATAS_1124_2008</w:t>
      </w:r>
    </w:p>
    <w:p>
      <w:r>
        <w:t>FR: GE_GERICHTE ATAS/1124/2008 du 8 octobre 2008</w:t>
      </w:r>
    </w:p>
    <w:p>
      <w:r>
        <w:t>IT: GE_GERICHTE ATAS/1124/2008 del 8 ottobre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Selon l'art. 56 al. 2 LPGA, un recours peut également être formé auprès du Tribunal cantonal des assurances sociales lorsque l'assureur ne rend pas de décision ou de décision à opposition, malgré la demande de l'intéressé (cf. également ATF 130 V 90). Interjeté devant la juridiction compétente, le recours est ainsi recevable.</w:t>
      </w:r>
    </w:p>
    <w:p>
      <w:r>
        <w:rPr>
          <w:b/>
        </w:rPr>
        <w:t>E. 4</w:t>
      </w:r>
    </w:p>
    <w:p>
      <w:r>
        <w:t>L'art. 56 al. 2 LPGA vise le refus de statuer et le retard à statuer d'un assureur ou d'une autorité administrative.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 La loi sur l'assurance-maladie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w:t>
      </w:r>
    </w:p>
    <w:p>
      <w:r>
        <w:t>A/853/2008 - 4/5 - consid. 2b/aa) ou en recourant, le cas échéant, pour retard injustifié (ATF 107 Ib 158 s. consid. 2b/bb et 2c). Cette obligation s'apprécie toutefois avec moins de rigueur en procédure pénale et administrative (HAEFLIGER/SCHÜRMANN, Die Europäische Menschenrechtskonvention und die Schweiz, Berne 1999, p. 203-204; AUER/MALINVERNI/HOTTELIER, Droit constitutionnel suisse, vol. II, n. 1243).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d'AVS/AI, pour lesquels la procédure doit être simple et rapide, ce qui est l'expression d'un principe général du droit des assurances sociales (ATF 126 V 249 consid. 4a et les références; cf. art. 61 let. a LPGA; ATFA du 23 avril 2003, I 819/02). L'autorité saisie d'un recours pour retard injustifié ne peut qu'inviter l'autorité concernée à statuer à bref délai (ATFA du 27 mars 2006, cause U 23/05).</w:t>
      </w:r>
    </w:p>
    <w:p>
      <w:r>
        <w:rPr>
          <w:b/>
        </w:rPr>
        <w:t>E. 5</w:t>
      </w:r>
    </w:p>
    <w:p>
      <w:r>
        <w:t>En l'espèce, le recourant reproche à l'intimée de n'avoir pas donné suite à son courrier du 21 janvier 2008 lui impartissant un délai de 10 jours pour rendre une décision sujette à opposition. Il résulte des pièces du dossier que de nombreux échanges de courriels et de courriers ont eu lieu entre les parties vers la fin de l'année 2007. Le recourant ne comprenait pas les multiples rappels et factures rectificatives que l'intimée lui a fait parvenir, concernant ses primes 2007, ce qui, au vu du dossier, est aisément compréhensible. Le Tribunal de céans relève cependant que le recourant a posté son courrier daté du 21 janvier 2008 en recommandé le 27 février 2008 et que l'intimée l'a reçu le 28 février 2008, alors qu'une réquisition de poursuite avait déjà été déposée par l'assureur. Suite à l'opposition du recourant au commandement de payer, l'intimée a établi une facture rectificative en date du 3 mars 2008 laissant apparaître un solde de 300 fr. en faveur du recourant. Finalement, l'intimée a répondu à la demande du recourant par courrier détaillé du 27 mars 2008, soit dans un délai raisonnable, et a établi un décompte précis tout en renonçant aux frais de poursuite. Au vu de ce qui précède, le recours pour déni de justice est devenu sans objet.</w:t>
      </w:r>
    </w:p>
    <w:p>
      <w:r>
        <w:t>A/853/2008 - 5/5 -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