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ATAS/1122/2020 vom 24. November 2020</w:t>
      </w:r>
    </w:p>
    <w:p>
      <w:r>
        <w:t>GE Cour de justice, 2020-11-24, FR</w:t>
      </w:r>
    </w:p>
    <w:p>
      <w:r>
        <w:rPr>
          <w:b/>
        </w:rPr>
        <w:t xml:space="preserve">Quelle: </w:t>
      </w:r>
      <w:r>
        <w:t>https://mcp.opencaselaw.ch/entscheid/ge_gerichte_ATAS_1122_2020</w:t>
      </w:r>
    </w:p>
    <w:p>
      <w:r>
        <w:t>FR: GE_GERICHTE ATAS/1122/2020 du 24 novembre 2020</w:t>
      </w:r>
    </w:p>
    <w:p>
      <w:r>
        <w:t>IT: GE_GERICHTE ATAS/1122/2020 del 24 novembre 2020</w:t>
      </w:r>
    </w:p>
    <w:p>
      <w:pPr>
        <w:pStyle w:val="Heading2"/>
      </w:pPr>
      <w:r>
        <w:t>Erwägungen</w:t>
      </w:r>
    </w:p>
    <w:p>
      <w:r>
        <w:rPr>
          <w:b/>
        </w:rPr>
        <w:t>E. 1</w:t>
      </w:r>
    </w:p>
    <w:p>
      <w:r>
        <w:t>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À titre liminaire, il convient d’examiner si la prétention de la caisse est prescrite. a. Selon l’art. 52 al. 3 LAVS, en sa teneur jusqu’au 31 décembre 2019 (cf. ATF 130 V 445 consid. 1),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Les délais prévus par l’art. 52 al. 3 LAVS doivent être qualifiés de délais de prescription et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w:t>
      </w:r>
    </w:p>
    <w:p>
      <w:r>
        <w:t>A/3172/2019 - 5/10 - Tribunal fédéral des assurances H 35/06 du 4 octobre 2006 consid. 6). Ce jour marque également celui de la naissance de la créance en réparation et la date à partir de laquelle court le délai de cinq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En cas de faillite, le moment de la connaissance du dommage correspond en règle générale à celui du dépôt de l’état de collocation ou celui de la publication de la suspension de la liquidation de la faillite faute d’actifs (ATF 129 V 193 consid. 2.3). Tandis que le juge ne peut interrompre la prescription que par une ordonnance ou une décision, « chaque acte judiciaire des parties » suffit à produire cet effet (art. 138 al. 1 de la loi fédérale du 30 mars 1911, complétant le Code civil suisse - CO, Code des obligations ;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le dommage s’est produit le 16 avril 2018, soit au moment de la faillite de la société, publiée dans la Feuille officielle suisse du commerce (ci-après : FOSC) le 1er mai 2018. En adressant au recourant le 7 mai 2019 une décision en réparation du dommage, l’intimée a agi dans le délai de prescription de deux ans. Elle l’a ainsi valablement interrompue au sens des dispositions précitées. Quant au délai de prescription de cinq ans, il n’est pas encore échu.</w:t>
      </w:r>
    </w:p>
    <w:p>
      <w:r>
        <w:rPr>
          <w:b/>
        </w:rPr>
        <w:t>E. 7</w:t>
      </w:r>
    </w:p>
    <w:p>
      <w:r>
        <w:t>L’action en réparation du dommage n’étant pas prescrite, il convient à présent d’examiner si le recourant peut être considéré comme étant « l’employeur » tenu de verser les cotisations à l’intimée, s’il(s) a(ont) commis une faute ou une négligence grave et enfin s’il existe un lien de causalité adéquate entre son(leur) comportement et le dommage causé à l’intimée. a.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si l’employeur est une personne morale, la responsabilité peut s’étendre, à titre subsidiaire, aux organes qui ont agi en son nom, notamment quand la personne morale n’existe plus au moment où la responsabilité est engagée</w:t>
      </w:r>
    </w:p>
    <w:p>
      <w:r>
        <w:t>A/3172/2019 - 6/10 - (ATF 123 V 12 consid. 5b ;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 du Tribunal fédéral des assurances H 252/01 du 14 mai 2002 consid. 3b et d, in VSI 2002 p. 176 ; arrêt du Tribunal fédéral 9C_344/2011 du 3 février 2012 consid. 3.2). b. En l’espèce, le recourant a été associé gérant, avec signature collective à deux, du 2 novembre 2015 au 12 juillet 2017. Il disposait ainsi de la qualité d’organe formel de la société à teneur du RC. Conformément aux dispositions précitées, il répond du dommage à titre subsidiaire.</w:t>
      </w:r>
    </w:p>
    <w:p>
      <w:r>
        <w:rPr>
          <w:b/>
        </w:rPr>
        <w:t>E. 8</w:t>
      </w:r>
    </w:p>
    <w:p>
      <w:r>
        <w:t>Reste à examiner si les autres conditions de la responsabilité de l’art. 52 al. 1 LAVS sont réalisées.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Selon la jurisprudence constante, se rend coupable d’une négligence grave l’employeur qui manque de l’attention qu’un homme raisonnable aurait observée</w:t>
      </w:r>
    </w:p>
    <w:p>
      <w:r>
        <w:t>A/3172/2019 - 7/10 -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b.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w:t>
      </w:r>
    </w:p>
    <w:p>
      <w:r>
        <w:t>A/3172/2019 - 8/10 - facteurs qui ont contribué à l’amener, en particulier le comportement de l’auteur (arrêt du Tribunal fédéral des assurances H 95/05 du 10 janvier 2007 consid. 4). c. Le dommage selon l’art. 52 LAVS comprend les cotisations impayées dues selon la LAVS, la loi fédérale sur l’assurance-invalidité du 19 juin 1959 (LAI – RS 831.20 ; art. 66 LAI), la loi fédérale du 25 septembre 1952 sur les allocations pour perte de gain en cas de service et de maternité (LAPG - RS 834.1 ; art. 21 al. 2 LAPG), la loi fédérale du 20 juin 1952 sur les allocations familiales dans l’agriculture (LFA - RS 836.1 ; art. 25 al. LFA), la loi fédérale du 24 mars 2006 sur les allocations familiales (LAFam - RS 836.2 ; art. 25 let. c LAFam), et la loi fédérale sur l’assurance-chômage obligatoire et l’indemnité en cas d’insolvabilité du 25 juin 1982 (LACI - RS 837.0 ; art. 6 LACI).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no 8016 et 8017). Les éventuelles amendes prononcées par la caisse de compensation ne font pas partie du dommage et doivent le cas échéant être déduites (arrêt du Tribunal fédéral des assurances H 142/03 du 19 août 2003 consid. 5.5). Par arrêt du 30 janvier 2020 (ATAS/79/2020), la chambre de céans a jugé qu’il n’existait pas de base légale suffisante pour rechercher les employeurs ou leurs organes pour le dommage résultant du défaut de paiement des cotisations dues en vertu de la loi genevoise instituant une assurance en cas de maternité et d’adoption (LAMat - RSG J 5 07).</w:t>
      </w:r>
    </w:p>
    <w:p>
      <w:r>
        <w:rPr>
          <w:b/>
        </w:rPr>
        <w:t>E. 9</w:t>
      </w:r>
    </w:p>
    <w:p>
      <w:r>
        <w:t>Devant la chambre de céans, le recourant cherche à démontrer qu’il n’a jamais participé à la gestion des affaires de la société et que son cousin était la seule personne qui gérait l’entreprise. Or, c’est précisément cette inaction qui constitue la violation de ses devoirs. En conservant formellement, pendant près de deux ans, un mandat de gestion qu’il indique n’avoir jamais assumé dans les faits, le recourant occupait une position comparable à celle d’un « homme de paille », soit une personne qui se déclare prête à assumer ou à conserver un mandat d’associé gérant d’une Sàrl, tout en sachant qu’il ne pourra (ou ne voudra) pas le remplir consciencieusement. Or, selon la jurisprudence constante du Tribunal fédéral, une telle situation est précisément inadmissible, l’associé gérant violant, en cela, son obligation de diligence (ATF 122 III 195 consid. 3b p. 200 ; arrêts du Tribunal fédéral 9C_722/2015 du 31 mai 2016 consid. 3.3 ; 9C_446/2014 du 2 septembre 2014 consid. 4.2 ; 9C_344/2011 du 3 février 2012 consid. 4.2). En ne veillant pas au versement des cotisations courantes et arriérées alors qu’il était associé gérant d’une société à responsabilité limitée, le recourant a donc commis une négligence qui doit, sous l’angle de l’art. 52 LAVS, être qualifiée de grave. Les manquements de l’intéressé relatifs au défaut de paiement des cotisations paritaires sont sans aucun doute en rapport de causalité naturelle et adéquate avec le</w:t>
      </w:r>
    </w:p>
    <w:p>
      <w:r>
        <w:t>A/3172/2019 - 9/10 - dommage subi par l’intimée. Il s’ensuit que le recourant ne saurait être exonéré de sa responsabilité d’organe envers l’intimée. S’agissant du montant du dommage, le recourant ne remet pas en cause la somme réclamée, laquelle est justifiée par les pièces au dossier. Conformément à la jurisprudence récente de la chambre de céans, il convient cependant de déduire du montant réclamé par l’intimée de CHF 126'940.95 le dommage résultant du défaut de paiement des cotisations dues en vertu de la LAMat (ATAS/79/2020 du 30 janvier 2020).</w:t>
      </w:r>
    </w:p>
    <w:p>
      <w:r>
        <w:rPr>
          <w:b/>
        </w:rPr>
        <w:t>E. 10</w:t>
      </w:r>
    </w:p>
    <w:p>
      <w:r>
        <w:t>Eu égard à ce qui précède, le recours est très partiellement admis, et la cause sera renvoyée à l’intimée pour nouveaux calculs du dommage excluant les cotisations impayées découlant de la LAMat, les intérêts moratoires et frais administratifs afférents à ces montants, et nouvelle décision sur ce point. Le recourant obtenant très partiellement gain de cause et ayant agi en personne, il ne se justifie pas de lui octroyer des dépens (art. 61 let. g LPGA et art. 6 du règlement sur les frais, émoluments et indemnités en matière administrative du 30 juillet 1986 [RFPA - E 5 10.03]). Pour le surplus, la procédure est gratuite (art. 61 let. a LPGA). * * * * * *</w:t>
      </w:r>
    </w:p>
    <w:p>
      <w:r>
        <w:t>A/3172/2019 - 10/10 -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