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ATAS/1122/2019 vom 4. Dezember 2019</w:t>
      </w:r>
    </w:p>
    <w:p>
      <w:r>
        <w:t>GE Cour de justice, 2019-12-04, FR</w:t>
      </w:r>
    </w:p>
    <w:p>
      <w:r>
        <w:rPr>
          <w:b/>
        </w:rPr>
        <w:t xml:space="preserve">Quelle: </w:t>
      </w:r>
      <w:r>
        <w:t>https://mcp.opencaselaw.ch/entscheid/ge_gerichte_ATAS_1122_2019</w:t>
      </w:r>
    </w:p>
    <w:p>
      <w:r>
        <w:t>FR: GE_GERICHTE ATAS/1122/2019 du 4 décembre 2019</w:t>
      </w:r>
    </w:p>
    <w:p>
      <w:r>
        <w:t>IT: GE_GERICHTE ATAS/1122/2019 del 4 dicembre 2019</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Le délai de recours est de trente jours (art. 56 LPGA; art. 62 al. 1 de la de loi sur la procédure administrative du 12 septembre 1985 [LPA - E 5 10]). Interjeté dans la forme et le délai prévus par la loi, le recours est recevable (art. 56 ss LPGA et 62 ss LPA).</w:t>
      </w:r>
    </w:p>
    <w:p>
      <w:r>
        <w:rPr>
          <w:b/>
        </w:rPr>
        <w:t>E. 3</w:t>
      </w:r>
    </w:p>
    <w:p>
      <w:r>
        <w:t>Il y a préalablement lieu de définir l’objet du litige. a. L’objet du litige dans la procédure juridictionnelle administrative subséquente est le rapport juridique qui – dans le cadre de l’objet de la contestation déterminé par la décision – constitue, d’après les conclusions du recours, l’objet de la décision effectivement attaqué (ATF 131 V 164 consid. 2.1; ATF 125 V 413 consid. 1b et 2 et les références citées).</w:t>
      </w:r>
    </w:p>
    <w:p>
      <w:r>
        <w:t>A/4128/2018 - 5/8 - En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Lorsque dans la procédure juridictionnelle faisant suite à une décision administrative ou à une opposition, le recours ne porte que sur certains des rapports juridiques déterminés par la décision, ceux qui, bien que visés par cette dernière, ne sont plus litigieux d'après les conclusions du recours, ne sont pas compris dans l'objet du litige. Ils sont examinés par le juge s'ils sont dans un rapport de connexité étroit avec cet objet (ATF 125 V 414 consid. 1 ; arrêt du Tribunal fédéral 9C_197/2007 du 27 mars 2008). Le Tribunal fédéral a ainsi considéré, dans un arrêt du 13 octobre 1992 (ATF 118 V 185), que la question de l’octroi de mesures de réadaptation, contestée par l’assuré dans le cadre de la procédure devant la juridiction cantonale, n’était pas dans le rapport de connexité étroit requis pour examiner le droit à la rente, qui, lui, n’avait pas été contesté, dès lors que l’examen du droit à des mesures de réadaptation pouvait se faire sans qu'il soit nécessaire de revoir d'office la question de la rente. Ainsi non seulement l'autorité cantonale ne devait pas se prononcer sur le droit à la rente, mais le Tribunal fédéral non plus. Dans le cas d'une décision portant sur deux objets, il suffit qu'il soit possible de déduire des conclusions de l'opposant interprétées au regard des griefs formulés une volonté de contester l'un et l'autre des objets (arrêt du Tribunal fédéral des assurances U 27/04 du 15 mars 2005 consid. 3 ; arrêt du Tribunal fédéral 8C_817/2017 du 31 août 2018 consid. 3.2). Les décisions et les décisions sur opposition sont, notamment, exécutoires lorsqu'elles ne peuvent plus être attaquées par une opposition ou un recours (art. 54 al. 1 let. a LPGA). b. En l’espèce, dans son opposition du 13 juillet 2017, l’assuré n’a fait porter son opposition que sur le montant de sa rente, faisant valoir qu’il était possible que certains salaires n’aient pas été déclarés et en produisant un jugement du Tribunal des Prud’hommes en lien avec des salaires qu’il aurait touchés de 1996 à 1999. Il n’a ainsi fait valoir aucun grief contre les taux d’invalidité retenus par l’OAI dans sa décision du 22 juin 2017. Celle-ci est dès lors entrée en force de chose jugée en ce qui concerne les taux d’invalidité retenus et elle ne peut donc plus être contestée par le recourant dans le cadre de son recours contre la décision de l’OAI du 25 septembre 2018. Le présent litige ne porte donc que sur la question de savoir si l’intimé a omis de prendre en compte dans son recalcul des rentes dues au recourant du 25 septembre 2018 quelques mois de salaire de l’année 1996.</w:t>
      </w:r>
    </w:p>
    <w:p>
      <w:r>
        <w:rPr>
          <w:b/>
        </w:rPr>
        <w:t>E. 4</w:t>
      </w:r>
    </w:p>
    <w:p>
      <w:r>
        <w:t>L’art. 29bis al. 1 LAVS dispose que le calcul de la rente est déterminé par les années de cotisations, les revenus provenant d’une activité lucrative ainsi que les</w:t>
      </w:r>
    </w:p>
    <w:p>
      <w:r>
        <w:t>A/4128/2018 - 6/8 - bonifications pour tâches éducatives ou pour tâches d’assistance entre le 1er janvier qui suit la date où l’ayant droit a eu 20 ans révolus et le 31 décembre qui précède la réalisation du risque assuré (âge de la retraite ou décès). Conformément à l'art. 52c RAVS, les périodes de cotisations entre le 31 décembre précédant la réalisation du cas d'assurance et la naissance du droit à la rente peuvent être prises en compte pour combler les lacunes de cotisations. Les revenus provenant d'une activité lucrative réalisés durant cette période ne sont toutefois pas pris en considération pour le calcul de la rente. Selon l'art. 141 RAVS, tout assuré a le droit d'exiger de chaque caisse de compensation qui tient pour lui un compte individuel un extrait des inscriptions faites, portant des indications relatives aux employeurs (al. 1 phr. 1). L'assuré peut, dans les 30 jours suivant la remise de l'extrait de compte, contester avec motifs à l'appui l'exactitude d'une inscription auprès de la caisse de compensation, laquelle se prononce dans la forme d'une décision de la caisse; cette décision est susceptible de recours (al. 2). Lorsqu’il n’est demandé ni extrait de compte ni rectification, ou lorsqu’une demande en rectification a été rejetée, la rectification des inscriptions ne peut être exigée, lors de la réalisation du risque assuré, que si l’inexactitude des inscriptions est manifeste ou si elle a été pleinement prouvée. L'art. 141 al. 3 RAVS ne donne pas à la caisse le pouvoir de trancher des questions de droit que l'assuré aurait pu soumettre auparavant au juge par la voie d'un recours, mais seulement de corriger des erreurs d'écriture (ATFA non publié du 25 juin 2001 en la cause H 318/00 ; ATF 117 V 263; RCC 1984 p. 184 consid. 1). Des motifs de sécurité juridique exigent de se montrer strict en matière d'appréciation des preuves et d'appliquer la règle de l'art. 141 al. 3 RAVS lorsqu'un assuré affirme avoir exercé une activité lucrative soumise à cotisations paritaires durant une période non prise en compte dans le calcul de la rente (cf. ATF 107 V 12). La règle en matière de preuve posée à l'art. 141 al. 3 RAVS n'exclut pas l'application du principe inquisitoire; la preuve absolue doit être fournie selon les règles usuelles sur l'administration des preuves et le fardeau de la preuve qui prévalent dans l'assurance sociale, l'obligation de collaborer de la partie intéressée étant toutefois plus étendue dans ce cas (ATFA non publié du 3 février 2004 en la cause H 107/03 ; ATF 117 V 261).</w:t>
      </w:r>
    </w:p>
    <w:p>
      <w:r>
        <w:rPr>
          <w:b/>
        </w:rPr>
        <w:t>E. 5</w:t>
      </w:r>
    </w:p>
    <w:p>
      <w:r>
        <w:t>En l’occurrence, l’intimé, soit pour lui la caisse, a pris en compte dans son nouveau calcul de la rente le complément de cotisations transmis par Gastrosocial pour les années 1997, 1998 et 1999. Le recourant ne conteste pas son calcul, mais fait valoir qu’il manquerait encore quelques mois de salaire pour l’année 1996. Le recourant a déjà fait des démarches pour compléter ses cotisations dans le cadre de son recours contre la décision rendue le 22 juin 2017 par l’intimé, sans pouvoir démontrer avoir cotisé en 1996. Il n’amène aucun élément de fait nouveau permettant de le rendre vraisemblable. Il se justifie en conséquence de s'en tenir aux données contenues</w:t>
      </w:r>
    </w:p>
    <w:p>
      <w:r>
        <w:t>A/4128/2018 - 7/8 - dans l'extrait de son compte individuel sans investiguer plus avant, le fardeau de la preuve incombant au recourant.</w:t>
      </w:r>
    </w:p>
    <w:p>
      <w:r>
        <w:rPr>
          <w:b/>
        </w:rPr>
        <w:t>E. 6</w:t>
      </w:r>
    </w:p>
    <w:p>
      <w:r>
        <w:t>En conséquence, la décision rendue par l’intimé du 25 septembre 2018 est bien fondée et doit être confirmée et le recours sera rejeté.</w:t>
      </w:r>
    </w:p>
    <w:p>
      <w:r>
        <w:rPr>
          <w:b/>
        </w:rPr>
        <w:t>E. 7</w:t>
      </w:r>
    </w:p>
    <w:p>
      <w:r>
        <w:t>Un émolument de CHF 200.- sera mis à la charge du recourant (art. 69 al. 1bis LAI).</w:t>
      </w:r>
    </w:p>
    <w:p>
      <w:r>
        <w:t>A/4128/2018 - 8/8 -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